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70ED" w:rsidRPr="0052570E" w:rsidRDefault="00F770ED" w:rsidP="00F770ED">
      <w:pPr>
        <w:spacing w:after="0" w:line="360" w:lineRule="auto"/>
        <w:jc w:val="both"/>
        <w:rPr>
          <w:rFonts w:ascii="Palatino Linotype" w:hAnsi="Palatino Linotype"/>
          <w:b/>
          <w:sz w:val="24"/>
          <w:szCs w:val="24"/>
        </w:rPr>
      </w:pPr>
    </w:p>
    <w:p w:rsidR="00F770ED" w:rsidRPr="0052570E" w:rsidRDefault="00F770ED" w:rsidP="00F770ED">
      <w:pPr>
        <w:spacing w:after="0" w:line="360" w:lineRule="auto"/>
        <w:jc w:val="both"/>
        <w:rPr>
          <w:rFonts w:ascii="Palatino Linotype" w:hAnsi="Palatino Linotype"/>
          <w:b/>
          <w:sz w:val="23"/>
          <w:szCs w:val="23"/>
        </w:rPr>
      </w:pPr>
      <w:r w:rsidRPr="0052570E">
        <w:rPr>
          <w:rFonts w:ascii="Palatino Linotype" w:hAnsi="Palatino Linotype"/>
          <w:b/>
          <w:sz w:val="23"/>
          <w:szCs w:val="23"/>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PRIMER SESIÓN ORDINARIA DEL NUEVE DE ENERO DE DOS MIL DIECINUEVE, EN EL RECURSO DE REVISIÓN </w:t>
      </w:r>
      <w:r w:rsidR="008E267F">
        <w:rPr>
          <w:rFonts w:ascii="Palatino Linotype" w:hAnsi="Palatino Linotype"/>
          <w:b/>
          <w:sz w:val="23"/>
          <w:szCs w:val="23"/>
          <w:lang w:val="es-ES_tradnl"/>
        </w:rPr>
        <w:t>0</w:t>
      </w:r>
      <w:r w:rsidR="00831366" w:rsidRPr="0052570E">
        <w:rPr>
          <w:rFonts w:ascii="Palatino Linotype" w:hAnsi="Palatino Linotype"/>
          <w:b/>
          <w:sz w:val="23"/>
          <w:szCs w:val="23"/>
          <w:lang w:val="es-ES_tradnl"/>
        </w:rPr>
        <w:t>4025</w:t>
      </w:r>
      <w:r w:rsidRPr="0052570E">
        <w:rPr>
          <w:rFonts w:ascii="Palatino Linotype" w:hAnsi="Palatino Linotype"/>
          <w:b/>
          <w:sz w:val="23"/>
          <w:szCs w:val="23"/>
          <w:lang w:val="es-ES_tradnl"/>
        </w:rPr>
        <w:t>/INFOEM/IP/RR/2018.</w:t>
      </w:r>
    </w:p>
    <w:p w:rsidR="00F770ED" w:rsidRPr="0052570E" w:rsidRDefault="00F770ED" w:rsidP="00F770ED">
      <w:pPr>
        <w:spacing w:after="0" w:line="360" w:lineRule="auto"/>
        <w:jc w:val="both"/>
        <w:rPr>
          <w:rFonts w:ascii="Palatino Linotype" w:hAnsi="Palatino Linotype"/>
          <w:sz w:val="23"/>
          <w:szCs w:val="23"/>
        </w:rPr>
      </w:pPr>
    </w:p>
    <w:p w:rsidR="00F770ED" w:rsidRPr="0052570E" w:rsidRDefault="00F770ED" w:rsidP="00F770ED">
      <w:pPr>
        <w:spacing w:after="0" w:line="360" w:lineRule="auto"/>
        <w:jc w:val="both"/>
        <w:rPr>
          <w:rFonts w:ascii="Palatino Linotype" w:hAnsi="Palatino Linotype"/>
          <w:sz w:val="23"/>
          <w:szCs w:val="23"/>
        </w:rPr>
      </w:pPr>
      <w:r w:rsidRPr="0052570E">
        <w:rPr>
          <w:rFonts w:ascii="Palatino Linotype" w:hAnsi="Palatino Linotype"/>
          <w:sz w:val="23"/>
          <w:szCs w:val="23"/>
        </w:rPr>
        <w:t xml:space="preserve">Con fundamento en lo dispuesto por el artículo 14, fracciones X y XI, del Reglamento del Instituto de Transparencia, Acceso a la Información Pública y Protección de Datos Personales del Estado de México, el Comisionado Javier Martínez Cruz emite </w:t>
      </w:r>
      <w:r w:rsidRPr="0052570E">
        <w:rPr>
          <w:rFonts w:ascii="Palatino Linotype" w:hAnsi="Palatino Linotype"/>
          <w:b/>
          <w:sz w:val="23"/>
          <w:szCs w:val="23"/>
        </w:rPr>
        <w:t>VOTO PARTICULAR</w:t>
      </w:r>
      <w:r w:rsidRPr="0052570E">
        <w:rPr>
          <w:rFonts w:ascii="Palatino Linotype" w:hAnsi="Palatino Linotype"/>
          <w:sz w:val="23"/>
          <w:szCs w:val="23"/>
        </w:rPr>
        <w:t xml:space="preserve"> respecto a la resolución dictada en el recurso de revisión número </w:t>
      </w:r>
      <w:r w:rsidRPr="0052570E">
        <w:rPr>
          <w:rFonts w:ascii="Palatino Linotype" w:hAnsi="Palatino Linotype"/>
          <w:b/>
          <w:sz w:val="23"/>
          <w:szCs w:val="23"/>
          <w:lang w:val="es-ES_tradnl"/>
        </w:rPr>
        <w:t>0</w:t>
      </w:r>
      <w:r w:rsidR="00831366" w:rsidRPr="0052570E">
        <w:rPr>
          <w:rFonts w:ascii="Palatino Linotype" w:hAnsi="Palatino Linotype"/>
          <w:b/>
          <w:sz w:val="23"/>
          <w:szCs w:val="23"/>
          <w:lang w:val="es-ES_tradnl"/>
        </w:rPr>
        <w:t>4025</w:t>
      </w:r>
      <w:r w:rsidRPr="0052570E">
        <w:rPr>
          <w:rFonts w:ascii="Palatino Linotype" w:hAnsi="Palatino Linotype"/>
          <w:b/>
          <w:sz w:val="23"/>
          <w:szCs w:val="23"/>
          <w:lang w:val="es-ES_tradnl"/>
        </w:rPr>
        <w:t xml:space="preserve">/INFOEM/IP/RR/2018 </w:t>
      </w:r>
      <w:r w:rsidRPr="0052570E">
        <w:rPr>
          <w:rFonts w:ascii="Palatino Linotype" w:hAnsi="Palatino Linotype"/>
          <w:sz w:val="23"/>
          <w:szCs w:val="23"/>
          <w:lang w:val="es-ES_tradnl"/>
        </w:rPr>
        <w:t xml:space="preserve">pronunciada </w:t>
      </w:r>
      <w:r w:rsidRPr="0052570E">
        <w:rPr>
          <w:rFonts w:ascii="Palatino Linotype" w:hAnsi="Palatino Linotype"/>
          <w:sz w:val="23"/>
          <w:szCs w:val="23"/>
        </w:rPr>
        <w:t>por el Pleno de este Instituto ante el proyecto presentado por l</w:t>
      </w:r>
      <w:r w:rsidR="00831366" w:rsidRPr="0052570E">
        <w:rPr>
          <w:rFonts w:ascii="Palatino Linotype" w:hAnsi="Palatino Linotype"/>
          <w:sz w:val="23"/>
          <w:szCs w:val="23"/>
        </w:rPr>
        <w:t>a</w:t>
      </w:r>
      <w:r w:rsidRPr="0052570E">
        <w:rPr>
          <w:rFonts w:ascii="Palatino Linotype" w:hAnsi="Palatino Linotype"/>
          <w:sz w:val="23"/>
          <w:szCs w:val="23"/>
        </w:rPr>
        <w:t xml:space="preserve"> </w:t>
      </w:r>
      <w:r w:rsidR="00831366" w:rsidRPr="0052570E">
        <w:rPr>
          <w:rFonts w:ascii="Palatino Linotype" w:hAnsi="Palatino Linotype"/>
          <w:sz w:val="23"/>
          <w:szCs w:val="23"/>
        </w:rPr>
        <w:t>Comisionada</w:t>
      </w:r>
      <w:r w:rsidRPr="0052570E">
        <w:rPr>
          <w:rFonts w:ascii="Palatino Linotype" w:hAnsi="Palatino Linotype"/>
          <w:sz w:val="23"/>
          <w:szCs w:val="23"/>
        </w:rPr>
        <w:t xml:space="preserve"> </w:t>
      </w:r>
      <w:r w:rsidR="00831366" w:rsidRPr="0052570E">
        <w:rPr>
          <w:rFonts w:ascii="Palatino Linotype" w:hAnsi="Palatino Linotype"/>
          <w:b/>
          <w:sz w:val="23"/>
          <w:szCs w:val="23"/>
          <w:lang w:val="es-ES_tradnl"/>
        </w:rPr>
        <w:t>Zulema Martínez Sánchez</w:t>
      </w:r>
      <w:r w:rsidRPr="0052570E">
        <w:rPr>
          <w:rFonts w:ascii="Palatino Linotype" w:hAnsi="Palatino Linotype"/>
          <w:sz w:val="23"/>
          <w:szCs w:val="23"/>
        </w:rPr>
        <w:t xml:space="preserve">, que es del tenor siguiente: </w:t>
      </w:r>
    </w:p>
    <w:p w:rsidR="00F770ED" w:rsidRPr="0052570E" w:rsidRDefault="00F770ED" w:rsidP="00F770ED">
      <w:pPr>
        <w:tabs>
          <w:tab w:val="left" w:pos="709"/>
        </w:tabs>
        <w:spacing w:before="240" w:line="360" w:lineRule="auto"/>
        <w:ind w:right="51"/>
        <w:jc w:val="both"/>
        <w:rPr>
          <w:rFonts w:ascii="Palatino Linotype" w:hAnsi="Palatino Linotype"/>
          <w:sz w:val="23"/>
          <w:szCs w:val="23"/>
        </w:rPr>
      </w:pPr>
      <w:r w:rsidRPr="0052570E">
        <w:rPr>
          <w:rFonts w:ascii="Palatino Linotype" w:hAnsi="Palatino Linotype"/>
          <w:sz w:val="23"/>
          <w:szCs w:val="23"/>
        </w:rPr>
        <w:t>De la solicitud de información</w:t>
      </w:r>
      <w:r w:rsidRPr="0052570E">
        <w:rPr>
          <w:rFonts w:ascii="Palatino Linotype" w:hAnsi="Palatino Linotype"/>
          <w:b/>
          <w:bCs/>
          <w:sz w:val="23"/>
          <w:szCs w:val="23"/>
        </w:rPr>
        <w:t> </w:t>
      </w:r>
      <w:r w:rsidR="00831366" w:rsidRPr="0052570E">
        <w:rPr>
          <w:rFonts w:ascii="Palatino Linotype" w:hAnsi="Palatino Linotype"/>
          <w:b/>
          <w:bCs/>
          <w:sz w:val="23"/>
          <w:szCs w:val="23"/>
          <w:lang w:val="es-ES"/>
        </w:rPr>
        <w:t>00381/ISSEMYM/AD/2018</w:t>
      </w:r>
      <w:r w:rsidRPr="0052570E">
        <w:rPr>
          <w:rFonts w:ascii="Palatino Linotype" w:hAnsi="Palatino Linotype"/>
          <w:sz w:val="23"/>
          <w:szCs w:val="23"/>
        </w:rPr>
        <w:t xml:space="preserve"> destaca que el particular requirió que el </w:t>
      </w:r>
      <w:r w:rsidR="00831366" w:rsidRPr="0052570E">
        <w:rPr>
          <w:rFonts w:ascii="Palatino Linotype" w:hAnsi="Palatino Linotype"/>
          <w:b/>
          <w:sz w:val="23"/>
          <w:szCs w:val="23"/>
          <w:lang w:val="es-ES"/>
        </w:rPr>
        <w:t>Instituto de Seguridad Social del Estado de México y Municipios</w:t>
      </w:r>
      <w:r w:rsidR="00831366" w:rsidRPr="0052570E">
        <w:rPr>
          <w:rFonts w:ascii="Palatino Linotype" w:hAnsi="Palatino Linotype"/>
          <w:sz w:val="23"/>
          <w:szCs w:val="23"/>
        </w:rPr>
        <w:t xml:space="preserve"> </w:t>
      </w:r>
      <w:r w:rsidRPr="0052570E">
        <w:rPr>
          <w:rFonts w:ascii="Palatino Linotype" w:hAnsi="Palatino Linotype"/>
          <w:sz w:val="23"/>
          <w:szCs w:val="23"/>
        </w:rPr>
        <w:t>le proporcionara lo siguiente:</w:t>
      </w:r>
    </w:p>
    <w:p w:rsidR="00F770ED" w:rsidRPr="0052570E" w:rsidRDefault="00F770ED" w:rsidP="00F770ED">
      <w:pPr>
        <w:tabs>
          <w:tab w:val="left" w:pos="709"/>
        </w:tabs>
        <w:spacing w:after="0" w:line="240" w:lineRule="auto"/>
        <w:ind w:left="851" w:right="851"/>
        <w:jc w:val="both"/>
        <w:rPr>
          <w:rFonts w:ascii="Palatino Linotype" w:eastAsia="Times New Roman" w:hAnsi="Palatino Linotype" w:cs="Times New Roman"/>
          <w:i/>
          <w:sz w:val="21"/>
          <w:szCs w:val="21"/>
          <w:lang w:val="es-ES_tradnl" w:eastAsia="es-ES"/>
        </w:rPr>
      </w:pPr>
      <w:r w:rsidRPr="0052570E">
        <w:rPr>
          <w:rFonts w:ascii="Palatino Linotype" w:eastAsia="Times New Roman" w:hAnsi="Palatino Linotype" w:cs="Times New Roman"/>
          <w:i/>
          <w:sz w:val="21"/>
          <w:szCs w:val="21"/>
          <w:lang w:val="es-ES_tradnl" w:eastAsia="es-ES"/>
        </w:rPr>
        <w:t>“</w:t>
      </w:r>
      <w:r w:rsidR="00831366" w:rsidRPr="0052570E">
        <w:rPr>
          <w:rFonts w:ascii="Palatino Linotype" w:hAnsi="Palatino Linotype"/>
          <w:b/>
          <w:i/>
          <w:sz w:val="21"/>
          <w:szCs w:val="21"/>
          <w:u w:val="single"/>
        </w:rPr>
        <w:t xml:space="preserve">SOLICITO COPIA SIMPLE DEL EXPEDIENTE CLÍNICO Y RADIOLÓGICO DE MI HERMANO </w:t>
      </w:r>
      <w:r w:rsidR="000A0647">
        <w:rPr>
          <w:rFonts w:ascii="Palatino Linotype" w:hAnsi="Palatino Linotype"/>
          <w:b/>
          <w:i/>
          <w:sz w:val="21"/>
          <w:szCs w:val="21"/>
          <w:u w:val="single"/>
        </w:rPr>
        <w:t>XXXXXXXX XXXXXX XXXXXXX CON CLAVE ISSEMYM XXXXXXX-X</w:t>
      </w:r>
      <w:proofErr w:type="gramStart"/>
      <w:r w:rsidR="00831366" w:rsidRPr="0052570E">
        <w:rPr>
          <w:rFonts w:ascii="Palatino Linotype" w:hAnsi="Palatino Linotype"/>
          <w:i/>
          <w:sz w:val="21"/>
          <w:szCs w:val="21"/>
        </w:rPr>
        <w:t>,QUIEN</w:t>
      </w:r>
      <w:proofErr w:type="gramEnd"/>
      <w:r w:rsidR="00831366" w:rsidRPr="0052570E">
        <w:rPr>
          <w:rFonts w:ascii="Palatino Linotype" w:hAnsi="Palatino Linotype"/>
          <w:i/>
          <w:sz w:val="21"/>
          <w:szCs w:val="21"/>
        </w:rPr>
        <w:t xml:space="preserve"> FALLECIÓ EL 23 DE MARZO DE 2018 QUIEN ERA ATENDIDO EN CENTRO MEDICO "LIC. ARTURO MONTIEL ROJAS". LO SOLICITO PARA COBRAR UN SEGURO EN EL CUAL SOY BENEFICIARIA Y ADJUNTO DOCUMENTOS QUE LO ACREDITAN</w:t>
      </w:r>
      <w:r w:rsidRPr="0052570E">
        <w:rPr>
          <w:rFonts w:ascii="Palatino Linotype" w:hAnsi="Palatino Linotype"/>
          <w:i/>
          <w:sz w:val="21"/>
          <w:szCs w:val="21"/>
        </w:rPr>
        <w:t>.</w:t>
      </w:r>
      <w:r w:rsidRPr="0052570E">
        <w:rPr>
          <w:rFonts w:ascii="Palatino Linotype" w:eastAsia="Times New Roman" w:hAnsi="Palatino Linotype" w:cs="Times New Roman"/>
          <w:i/>
          <w:sz w:val="21"/>
          <w:szCs w:val="21"/>
          <w:lang w:val="es-ES_tradnl" w:eastAsia="es-ES"/>
        </w:rPr>
        <w:t>”</w:t>
      </w:r>
    </w:p>
    <w:p w:rsidR="00F770ED" w:rsidRPr="0052570E" w:rsidRDefault="00F770ED" w:rsidP="00F770ED">
      <w:pPr>
        <w:tabs>
          <w:tab w:val="left" w:pos="709"/>
        </w:tabs>
        <w:spacing w:after="0" w:line="240" w:lineRule="auto"/>
        <w:ind w:left="851" w:right="851"/>
        <w:jc w:val="both"/>
        <w:rPr>
          <w:rFonts w:ascii="Palatino Linotype" w:hAnsi="Palatino Linotype"/>
          <w:i/>
          <w:sz w:val="21"/>
          <w:szCs w:val="21"/>
        </w:rPr>
      </w:pPr>
      <w:r w:rsidRPr="0052570E">
        <w:rPr>
          <w:rFonts w:ascii="Palatino Linotype" w:hAnsi="Palatino Linotype"/>
          <w:i/>
          <w:sz w:val="21"/>
          <w:szCs w:val="21"/>
        </w:rPr>
        <w:lastRenderedPageBreak/>
        <w:t>Énfasis añadido.</w:t>
      </w:r>
    </w:p>
    <w:p w:rsidR="00F770ED" w:rsidRPr="0052570E" w:rsidRDefault="00F770ED" w:rsidP="00F770ED">
      <w:pPr>
        <w:tabs>
          <w:tab w:val="left" w:pos="709"/>
        </w:tabs>
        <w:spacing w:after="0" w:line="240" w:lineRule="auto"/>
        <w:ind w:left="851" w:right="851"/>
        <w:jc w:val="both"/>
        <w:rPr>
          <w:rFonts w:ascii="Palatino Linotype" w:hAnsi="Palatino Linotype"/>
          <w:i/>
          <w:sz w:val="24"/>
          <w:szCs w:val="24"/>
        </w:rPr>
      </w:pPr>
    </w:p>
    <w:p w:rsidR="00E52FA3" w:rsidRPr="0052570E" w:rsidRDefault="00E52FA3" w:rsidP="00E52FA3">
      <w:pPr>
        <w:spacing w:line="360" w:lineRule="auto"/>
        <w:ind w:right="334"/>
        <w:jc w:val="both"/>
        <w:rPr>
          <w:rFonts w:ascii="Palatino Linotype" w:hAnsi="Palatino Linotype" w:cs="Arial"/>
        </w:rPr>
      </w:pPr>
      <w:r w:rsidRPr="0052570E">
        <w:rPr>
          <w:rFonts w:ascii="Palatino Linotype" w:hAnsi="Palatino Linotype" w:cs="Arial"/>
        </w:rPr>
        <w:t xml:space="preserve">De las constancias que integran el recurso de revisión al rubro indicado se advierte que en fecha diecisiete de septiembre de dos mil dieciocho, </w:t>
      </w:r>
      <w:r w:rsidRPr="0052570E">
        <w:rPr>
          <w:rFonts w:ascii="Palatino Linotype" w:hAnsi="Palatino Linotype" w:cs="Arial"/>
          <w:b/>
        </w:rPr>
        <w:t xml:space="preserve">el Sujeto Obligado </w:t>
      </w:r>
      <w:r w:rsidRPr="0052570E">
        <w:rPr>
          <w:rFonts w:ascii="Palatino Linotype" w:hAnsi="Palatino Linotype" w:cs="Arial"/>
        </w:rPr>
        <w:t xml:space="preserve">solicitó aclaración, en los términos siguientes: </w:t>
      </w:r>
    </w:p>
    <w:p w:rsidR="00E52FA3" w:rsidRPr="0052570E" w:rsidRDefault="00E52FA3" w:rsidP="00E52FA3">
      <w:pPr>
        <w:spacing w:before="240" w:line="360" w:lineRule="auto"/>
        <w:ind w:left="851" w:right="851"/>
        <w:jc w:val="both"/>
        <w:rPr>
          <w:rFonts w:ascii="Palatino Linotype" w:hAnsi="Palatino Linotype"/>
          <w:b/>
          <w:i/>
          <w:noProof/>
          <w:sz w:val="21"/>
          <w:szCs w:val="21"/>
          <w:lang w:eastAsia="es-MX"/>
        </w:rPr>
      </w:pPr>
      <w:r w:rsidRPr="0052570E">
        <w:rPr>
          <w:rFonts w:ascii="Palatino Linotype" w:hAnsi="Palatino Linotype"/>
          <w:b/>
          <w:i/>
          <w:noProof/>
          <w:sz w:val="21"/>
          <w:szCs w:val="21"/>
          <w:lang w:eastAsia="es-MX"/>
        </w:rPr>
        <w:t>“(…)</w:t>
      </w:r>
    </w:p>
    <w:p w:rsidR="00E52FA3" w:rsidRPr="0052570E" w:rsidRDefault="00E52FA3" w:rsidP="00E52FA3">
      <w:pPr>
        <w:spacing w:before="240" w:line="360" w:lineRule="auto"/>
        <w:ind w:left="851" w:right="851"/>
        <w:jc w:val="both"/>
        <w:rPr>
          <w:rFonts w:ascii="Palatino Linotype" w:hAnsi="Palatino Linotype"/>
          <w:b/>
          <w:i/>
          <w:noProof/>
          <w:sz w:val="21"/>
          <w:szCs w:val="21"/>
          <w:lang w:eastAsia="es-MX"/>
        </w:rPr>
      </w:pPr>
      <w:r w:rsidRPr="0052570E">
        <w:rPr>
          <w:rFonts w:ascii="Palatino Linotype" w:hAnsi="Palatino Linotype"/>
          <w:b/>
          <w:i/>
          <w:noProof/>
          <w:sz w:val="21"/>
          <w:szCs w:val="21"/>
          <w:lang w:eastAsia="es-MX"/>
        </w:rPr>
        <w:t xml:space="preserve">e) Los motivos y fundamentos por los cuales requiere la aclaración, precisión o complementación respectiva. </w:t>
      </w:r>
    </w:p>
    <w:p w:rsidR="00E52FA3" w:rsidRPr="0052570E" w:rsidRDefault="00E52FA3" w:rsidP="00E52FA3">
      <w:pPr>
        <w:spacing w:before="240" w:line="360" w:lineRule="auto"/>
        <w:ind w:left="851" w:right="851"/>
        <w:jc w:val="both"/>
        <w:rPr>
          <w:rFonts w:ascii="Palatino Linotype" w:hAnsi="Palatino Linotype"/>
          <w:i/>
          <w:noProof/>
          <w:sz w:val="21"/>
          <w:szCs w:val="21"/>
          <w:lang w:eastAsia="es-MX"/>
        </w:rPr>
      </w:pPr>
      <w:r w:rsidRPr="0052570E">
        <w:rPr>
          <w:rFonts w:ascii="Palatino Linotype" w:hAnsi="Palatino Linotype"/>
          <w:i/>
          <w:noProof/>
          <w:sz w:val="21"/>
          <w:szCs w:val="21"/>
          <w:lang w:eastAsia="es-MX"/>
        </w:rPr>
        <w:t xml:space="preserve">De conformidad con los artículos 97 y 110, fracción VI de la Ley de Protección de Datos Personales en Posesión de Sujetos Obligados del Estado de México y Municipios, es necesario que complemente la solicitud, </w:t>
      </w:r>
      <w:r w:rsidRPr="0052570E">
        <w:rPr>
          <w:rFonts w:ascii="Palatino Linotype" w:hAnsi="Palatino Linotype"/>
          <w:b/>
          <w:i/>
          <w:noProof/>
          <w:sz w:val="21"/>
          <w:szCs w:val="21"/>
          <w:u w:val="single"/>
          <w:lang w:eastAsia="es-MX"/>
        </w:rPr>
        <w:t>toda vez que no se observa ningún documento adjunto que acredite su personalidad, representación y consentimiento para acc</w:t>
      </w:r>
      <w:r w:rsidR="000A0647">
        <w:rPr>
          <w:rFonts w:ascii="Palatino Linotype" w:hAnsi="Palatino Linotype"/>
          <w:b/>
          <w:i/>
          <w:noProof/>
          <w:sz w:val="21"/>
          <w:szCs w:val="21"/>
          <w:u w:val="single"/>
          <w:lang w:eastAsia="es-MX"/>
        </w:rPr>
        <w:t>eder a datos personales del C. Xxxxxxxx Xxxxxx Xxxxxxx</w:t>
      </w:r>
      <w:r w:rsidRPr="0052570E">
        <w:rPr>
          <w:rFonts w:ascii="Palatino Linotype" w:hAnsi="Palatino Linotype"/>
          <w:i/>
          <w:noProof/>
          <w:sz w:val="21"/>
          <w:szCs w:val="21"/>
          <w:lang w:eastAsia="es-MX"/>
        </w:rPr>
        <w:t xml:space="preserve">. </w:t>
      </w:r>
    </w:p>
    <w:p w:rsidR="00E52FA3" w:rsidRPr="0052570E" w:rsidRDefault="00E52FA3" w:rsidP="00E52FA3">
      <w:pPr>
        <w:spacing w:before="240" w:line="360" w:lineRule="auto"/>
        <w:ind w:left="851" w:right="851"/>
        <w:jc w:val="both"/>
        <w:rPr>
          <w:rFonts w:ascii="Palatino Linotype" w:hAnsi="Palatino Linotype"/>
          <w:b/>
          <w:i/>
          <w:noProof/>
          <w:sz w:val="21"/>
          <w:szCs w:val="21"/>
          <w:u w:val="single"/>
          <w:lang w:eastAsia="es-MX"/>
        </w:rPr>
      </w:pPr>
      <w:r w:rsidRPr="0052570E">
        <w:rPr>
          <w:rFonts w:ascii="Palatino Linotype" w:hAnsi="Palatino Linotype"/>
          <w:b/>
          <w:i/>
          <w:noProof/>
          <w:sz w:val="21"/>
          <w:szCs w:val="21"/>
          <w:u w:val="single"/>
          <w:lang w:eastAsia="es-MX"/>
        </w:rPr>
        <w:t xml:space="preserve">Señalamiento al solicitante de que cuenta con un término de diez días hábiles, contados a partir del día hábil siguiente al que surta sus efectos la notificación respectiva, para desahogar la prevención. </w:t>
      </w:r>
    </w:p>
    <w:p w:rsidR="00E52FA3" w:rsidRPr="0052570E" w:rsidRDefault="00E52FA3" w:rsidP="00E52FA3">
      <w:pPr>
        <w:spacing w:before="240" w:line="360" w:lineRule="auto"/>
        <w:ind w:left="851" w:right="851"/>
        <w:jc w:val="both"/>
        <w:rPr>
          <w:rFonts w:ascii="Palatino Linotype" w:hAnsi="Palatino Linotype"/>
          <w:i/>
          <w:noProof/>
          <w:sz w:val="21"/>
          <w:szCs w:val="21"/>
          <w:lang w:eastAsia="es-MX"/>
        </w:rPr>
      </w:pPr>
      <w:r w:rsidRPr="0052570E">
        <w:rPr>
          <w:rFonts w:ascii="Palatino Linotype" w:hAnsi="Palatino Linotype"/>
          <w:i/>
          <w:noProof/>
          <w:sz w:val="21"/>
          <w:szCs w:val="21"/>
          <w:lang w:eastAsia="es-MX"/>
        </w:rPr>
        <w:t xml:space="preserve">Con fundamento en el artículo 111 de la Ley de Protección de Datos Personales en Posesión de Sujetos Obligados del Estado de México y Municipios; así como en los artículos 57 y 58 de los Lineamientos citados, se informa a la particular que podrá desahogar los requerimientos ordenados en un término de diez días hábiles, contados a partir del día hábil siguiente de la presente notificación. </w:t>
      </w:r>
    </w:p>
    <w:p w:rsidR="00E52FA3" w:rsidRPr="0052570E" w:rsidRDefault="00E52FA3" w:rsidP="00E52FA3">
      <w:pPr>
        <w:spacing w:before="240" w:line="360" w:lineRule="auto"/>
        <w:ind w:left="851" w:right="851"/>
        <w:jc w:val="both"/>
        <w:rPr>
          <w:rFonts w:ascii="Palatino Linotype" w:hAnsi="Palatino Linotype"/>
          <w:b/>
          <w:i/>
          <w:noProof/>
          <w:sz w:val="21"/>
          <w:szCs w:val="21"/>
          <w:lang w:eastAsia="es-MX"/>
        </w:rPr>
      </w:pPr>
      <w:r w:rsidRPr="0052570E">
        <w:rPr>
          <w:rFonts w:ascii="Palatino Linotype" w:hAnsi="Palatino Linotype"/>
          <w:b/>
          <w:i/>
          <w:noProof/>
          <w:sz w:val="21"/>
          <w:szCs w:val="21"/>
          <w:u w:val="single"/>
          <w:lang w:eastAsia="es-MX"/>
        </w:rPr>
        <w:lastRenderedPageBreak/>
        <w:t>f) Apercibimiento de que, para el caso de no desahogar la prevención, se tendrá por no presentada la solicitud, quedando a salvo los derechos del titular o su representante para presentar nuevamente su solicitud”</w:t>
      </w:r>
      <w:r w:rsidRPr="0052570E">
        <w:rPr>
          <w:rFonts w:ascii="Palatino Linotype" w:hAnsi="Palatino Linotype"/>
          <w:b/>
          <w:i/>
          <w:noProof/>
          <w:sz w:val="21"/>
          <w:szCs w:val="21"/>
          <w:lang w:eastAsia="es-MX"/>
        </w:rPr>
        <w:t xml:space="preserve"> [Sic]</w:t>
      </w:r>
    </w:p>
    <w:p w:rsidR="00E52FA3" w:rsidRPr="0052570E" w:rsidRDefault="00E52FA3" w:rsidP="00E52FA3">
      <w:pPr>
        <w:spacing w:before="240" w:after="240" w:line="360" w:lineRule="auto"/>
        <w:jc w:val="both"/>
        <w:rPr>
          <w:rFonts w:ascii="Palatino Linotype" w:hAnsi="Palatino Linotype"/>
        </w:rPr>
      </w:pPr>
      <w:r w:rsidRPr="0052570E">
        <w:rPr>
          <w:rFonts w:ascii="Palatino Linotype" w:hAnsi="Palatino Linotype"/>
        </w:rPr>
        <w:t xml:space="preserve">Al respecto, debe mencionarse que en el expediente electrónico del </w:t>
      </w:r>
      <w:r w:rsidRPr="0052570E">
        <w:rPr>
          <w:rFonts w:ascii="Palatino Linotype" w:hAnsi="Palatino Linotype"/>
          <w:b/>
        </w:rPr>
        <w:t>SARCOEM</w:t>
      </w:r>
      <w:r w:rsidRPr="0052570E">
        <w:rPr>
          <w:rFonts w:ascii="Palatino Linotype" w:hAnsi="Palatino Linotype"/>
        </w:rPr>
        <w:t xml:space="preserve"> obra acuerdo de fecha dos de octubre de dos mil dieciocho, en el que entre otras cosas se precisó: </w:t>
      </w:r>
    </w:p>
    <w:p w:rsidR="00E52FA3" w:rsidRPr="0052570E" w:rsidRDefault="00E52FA3" w:rsidP="00E52FA3">
      <w:pPr>
        <w:spacing w:before="240" w:line="360" w:lineRule="auto"/>
        <w:ind w:left="851" w:right="851"/>
        <w:jc w:val="both"/>
        <w:rPr>
          <w:rFonts w:ascii="Palatino Linotype" w:hAnsi="Palatino Linotype"/>
          <w:i/>
          <w:noProof/>
          <w:sz w:val="21"/>
          <w:szCs w:val="21"/>
          <w:lang w:eastAsia="es-MX"/>
        </w:rPr>
      </w:pPr>
      <w:r w:rsidRPr="0052570E">
        <w:rPr>
          <w:rFonts w:ascii="Palatino Linotype" w:hAnsi="Palatino Linotype"/>
          <w:i/>
          <w:noProof/>
          <w:sz w:val="21"/>
          <w:szCs w:val="21"/>
          <w:lang w:eastAsia="es-MX"/>
        </w:rPr>
        <w:t>“Con fundamento en el artículo 159, tercer párrafo de la Ley de Transparencia y Acceso a la Información Pública del Estado de México y Municipios, se le hace de su conocimiento que se tiene por no presentada la solicitud de aclaración citada al rubro, en virtud de que</w:t>
      </w:r>
    </w:p>
    <w:p w:rsidR="00E52FA3" w:rsidRPr="0052570E" w:rsidRDefault="00E52FA3" w:rsidP="00E52FA3">
      <w:pPr>
        <w:spacing w:before="240" w:line="360" w:lineRule="auto"/>
        <w:ind w:left="851" w:right="851"/>
        <w:jc w:val="both"/>
        <w:rPr>
          <w:rFonts w:ascii="Palatino Linotype" w:hAnsi="Palatino Linotype"/>
          <w:b/>
          <w:i/>
          <w:noProof/>
          <w:sz w:val="21"/>
          <w:szCs w:val="21"/>
          <w:u w:val="single"/>
          <w:lang w:eastAsia="es-MX"/>
        </w:rPr>
      </w:pPr>
      <w:r w:rsidRPr="0052570E">
        <w:rPr>
          <w:rFonts w:ascii="Palatino Linotype" w:hAnsi="Palatino Linotype"/>
          <w:b/>
          <w:i/>
          <w:noProof/>
          <w:sz w:val="21"/>
          <w:szCs w:val="21"/>
          <w:u w:val="single"/>
          <w:lang w:eastAsia="es-MX"/>
        </w:rPr>
        <w:t>No presento aclaración complementación o corrección de datos de la solicitud</w:t>
      </w:r>
    </w:p>
    <w:p w:rsidR="00E52FA3" w:rsidRPr="0052570E" w:rsidRDefault="00E52FA3" w:rsidP="00E52FA3">
      <w:pPr>
        <w:spacing w:before="240" w:line="360" w:lineRule="auto"/>
        <w:ind w:left="851" w:right="851"/>
        <w:jc w:val="both"/>
        <w:rPr>
          <w:rFonts w:ascii="Palatino Linotype" w:hAnsi="Palatino Linotype"/>
          <w:b/>
          <w:i/>
          <w:noProof/>
          <w:sz w:val="21"/>
          <w:szCs w:val="21"/>
          <w:lang w:eastAsia="es-MX"/>
        </w:rPr>
      </w:pPr>
      <w:r w:rsidRPr="0052570E">
        <w:rPr>
          <w:rFonts w:ascii="Palatino Linotype" w:hAnsi="Palatino Linotype"/>
          <w:i/>
          <w:noProof/>
          <w:sz w:val="21"/>
          <w:szCs w:val="21"/>
          <w:lang w:eastAsia="es-MX"/>
        </w:rPr>
        <w:t xml:space="preserve">quedando a salvo sus derechos para volverla a presentar. En virtud de lo anterior, se archiva la presente solicitud como concluida Se hace de su conocimiento que tiene derecho de interponer recurso de revisión dentro del plazo de 15 días hábiles contados a partir de la fecha en que se realice la notificación vía electrónica, a través del SAIMEX” </w:t>
      </w:r>
      <w:r w:rsidRPr="0052570E">
        <w:rPr>
          <w:rFonts w:ascii="Palatino Linotype" w:hAnsi="Palatino Linotype"/>
          <w:b/>
          <w:i/>
          <w:noProof/>
          <w:sz w:val="21"/>
          <w:szCs w:val="21"/>
          <w:lang w:eastAsia="es-MX"/>
        </w:rPr>
        <w:t>[Sic]</w:t>
      </w:r>
    </w:p>
    <w:p w:rsidR="00E52FA3" w:rsidRPr="0052570E" w:rsidRDefault="00F770ED" w:rsidP="00F770ED">
      <w:pPr>
        <w:spacing w:before="120" w:after="120" w:line="360" w:lineRule="auto"/>
        <w:jc w:val="both"/>
        <w:rPr>
          <w:rFonts w:ascii="Palatino Linotype" w:hAnsi="Palatino Linotype" w:cs="Arial"/>
          <w:sz w:val="23"/>
          <w:szCs w:val="23"/>
          <w:lang w:val="es-ES_tradnl"/>
        </w:rPr>
      </w:pPr>
      <w:r w:rsidRPr="0052570E">
        <w:rPr>
          <w:rFonts w:ascii="Palatino Linotype" w:hAnsi="Palatino Linotype"/>
          <w:sz w:val="23"/>
          <w:szCs w:val="23"/>
        </w:rPr>
        <w:t xml:space="preserve">Inconforme con </w:t>
      </w:r>
      <w:r w:rsidR="00E52FA3" w:rsidRPr="0052570E">
        <w:rPr>
          <w:rFonts w:ascii="Palatino Linotype" w:hAnsi="Palatino Linotype"/>
          <w:sz w:val="23"/>
          <w:szCs w:val="23"/>
        </w:rPr>
        <w:t>el actuar del Sujeto Obligado</w:t>
      </w:r>
      <w:r w:rsidRPr="0052570E">
        <w:rPr>
          <w:rFonts w:ascii="Palatino Linotype" w:hAnsi="Palatino Linotype" w:cs="Arial"/>
          <w:sz w:val="23"/>
          <w:szCs w:val="23"/>
          <w:lang w:val="es-ES_tradnl"/>
        </w:rPr>
        <w:t xml:space="preserve">, el </w:t>
      </w:r>
      <w:r w:rsidRPr="0052570E">
        <w:rPr>
          <w:rFonts w:ascii="Palatino Linotype" w:hAnsi="Palatino Linotype" w:cs="Arial"/>
          <w:sz w:val="23"/>
          <w:szCs w:val="23"/>
          <w:lang w:eastAsia="es-MX"/>
        </w:rPr>
        <w:t>Recurrente</w:t>
      </w:r>
      <w:r w:rsidRPr="0052570E">
        <w:rPr>
          <w:rFonts w:ascii="Palatino Linotype" w:hAnsi="Palatino Linotype" w:cs="Arial"/>
          <w:sz w:val="23"/>
          <w:szCs w:val="23"/>
          <w:lang w:val="es-ES_tradnl"/>
        </w:rPr>
        <w:t xml:space="preserve"> interpuso el medio de impugnación materia de análisis, en el que precisó como </w:t>
      </w:r>
      <w:r w:rsidRPr="0052570E">
        <w:rPr>
          <w:rFonts w:ascii="Palatino Linotype" w:hAnsi="Palatino Linotype" w:cs="Arial"/>
          <w:b/>
          <w:sz w:val="23"/>
          <w:szCs w:val="23"/>
          <w:lang w:val="es-ES_tradnl"/>
        </w:rPr>
        <w:t xml:space="preserve">acto impugnado </w:t>
      </w:r>
      <w:r w:rsidRPr="0052570E">
        <w:rPr>
          <w:rFonts w:ascii="Palatino Linotype" w:hAnsi="Palatino Linotype" w:cs="Arial"/>
          <w:i/>
          <w:sz w:val="23"/>
          <w:szCs w:val="23"/>
          <w:lang w:val="es-ES_tradnl"/>
        </w:rPr>
        <w:t>“</w:t>
      </w:r>
      <w:r w:rsidR="00E52FA3" w:rsidRPr="0052570E">
        <w:rPr>
          <w:rFonts w:ascii="Palatino Linotype" w:hAnsi="Palatino Linotype" w:cs="Arial"/>
          <w:b/>
          <w:i/>
          <w:u w:val="single"/>
        </w:rPr>
        <w:t>FALTA DE ENTREGA DE LA INFORMACIÓN SOLICITADA</w:t>
      </w:r>
      <w:r w:rsidRPr="0052570E">
        <w:rPr>
          <w:rFonts w:ascii="Palatino Linotype" w:hAnsi="Palatino Linotype" w:cs="Arial"/>
          <w:i/>
          <w:sz w:val="23"/>
          <w:szCs w:val="23"/>
          <w:lang w:val="es-ES_tradnl"/>
        </w:rPr>
        <w:t>”</w:t>
      </w:r>
      <w:r w:rsidRPr="0052570E">
        <w:rPr>
          <w:rFonts w:ascii="Palatino Linotype" w:hAnsi="Palatino Linotype" w:cs="Arial"/>
          <w:sz w:val="23"/>
          <w:szCs w:val="23"/>
          <w:lang w:val="es-ES_tradnl"/>
        </w:rPr>
        <w:t xml:space="preserve"> y como </w:t>
      </w:r>
      <w:r w:rsidRPr="0052570E">
        <w:rPr>
          <w:rFonts w:ascii="Palatino Linotype" w:hAnsi="Palatino Linotype" w:cs="Arial"/>
          <w:b/>
          <w:sz w:val="23"/>
          <w:szCs w:val="23"/>
          <w:lang w:val="es-ES_tradnl"/>
        </w:rPr>
        <w:t>motivos de inconformidad</w:t>
      </w:r>
      <w:r w:rsidRPr="0052570E">
        <w:rPr>
          <w:rFonts w:ascii="Palatino Linotype" w:hAnsi="Palatino Linotype" w:cs="Arial"/>
          <w:sz w:val="23"/>
          <w:szCs w:val="23"/>
          <w:lang w:val="es-ES_tradnl"/>
        </w:rPr>
        <w:t xml:space="preserve"> arguyó que </w:t>
      </w:r>
      <w:r w:rsidRPr="0052570E">
        <w:rPr>
          <w:rFonts w:ascii="Palatino Linotype" w:hAnsi="Palatino Linotype" w:cs="Arial"/>
          <w:i/>
          <w:sz w:val="23"/>
          <w:szCs w:val="23"/>
          <w:lang w:val="es-ES_tradnl"/>
        </w:rPr>
        <w:t>“</w:t>
      </w:r>
      <w:r w:rsidR="00E52FA3" w:rsidRPr="0052570E">
        <w:rPr>
          <w:rFonts w:ascii="Palatino Linotype" w:hAnsi="Palatino Linotype" w:cs="Arial"/>
          <w:i/>
        </w:rPr>
        <w:t xml:space="preserve">Con motivo del cobro de un seguro de vida del cual soy beneficiaria, ingrese una solicitud en el SARCOEM, el día 11 de septiembre de 2018, en la cual solicito el expediente clínico y radiológico de mi hermano, quien falleció en el mes de marzo de 2018, ya que en la aseguradora </w:t>
      </w:r>
      <w:r w:rsidR="00E52FA3" w:rsidRPr="0052570E">
        <w:rPr>
          <w:rFonts w:ascii="Palatino Linotype" w:hAnsi="Palatino Linotype" w:cs="Arial"/>
          <w:i/>
        </w:rPr>
        <w:lastRenderedPageBreak/>
        <w:t>entregue un resumen médico, pero no fue aceptado. Posteriormente el día 17 de septiembre de 2018, la unidad de Transparencia me requirió complementara mi solicitud de acceso a datos, debido a que no anexe el documento mediante el cual mi hermano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y jurídico, tal y como se demuestra con los documentos que adjunto en el presente recurso de revisión, los cuales son: • Identificaciones oficiales de ambos. • Actas de nacimiento de ambos. • Acta de defunción. • Póliza de seguro, en la cual se me nombra como beneficiaria. Por lo anterior, solicito al Instituto de Seguridad Social del Estado de México, me otorgue el expediente clínico de mi hermano, para poder continuar con los trámites para el cobro de seguro de vida del cual soy beneficiaria</w:t>
      </w:r>
      <w:r w:rsidRPr="0052570E">
        <w:rPr>
          <w:rFonts w:ascii="Palatino Linotype" w:hAnsi="Palatino Linotype" w:cs="Arial"/>
          <w:i/>
          <w:lang w:val="es-ES_tradnl"/>
        </w:rPr>
        <w:t>”</w:t>
      </w:r>
      <w:r w:rsidR="00E52FA3" w:rsidRPr="0052570E">
        <w:rPr>
          <w:rFonts w:ascii="Palatino Linotype" w:hAnsi="Palatino Linotype" w:cs="Arial"/>
          <w:lang w:val="es-ES_tradnl"/>
        </w:rPr>
        <w:t xml:space="preserve">, agregando </w:t>
      </w:r>
      <w:r w:rsidR="00C51D1A" w:rsidRPr="0052570E">
        <w:rPr>
          <w:rFonts w:ascii="Palatino Linotype" w:hAnsi="Palatino Linotype" w:cs="Arial"/>
          <w:lang w:val="es-ES_tradnl"/>
        </w:rPr>
        <w:t>el archivo</w:t>
      </w:r>
      <w:r w:rsidR="00E52FA3" w:rsidRPr="0052570E">
        <w:rPr>
          <w:rFonts w:ascii="Palatino Linotype" w:hAnsi="Palatino Linotype" w:cs="Arial"/>
          <w:lang w:val="es-ES_tradnl"/>
        </w:rPr>
        <w:t xml:space="preserve"> </w:t>
      </w:r>
      <w:r w:rsidR="00C51D1A" w:rsidRPr="0052570E">
        <w:rPr>
          <w:rFonts w:ascii="Palatino Linotype" w:hAnsi="Palatino Linotype" w:cs="Arial"/>
          <w:lang w:val="es-ES_tradnl"/>
        </w:rPr>
        <w:t>electrónico</w:t>
      </w:r>
      <w:r w:rsidR="00E52FA3" w:rsidRPr="0052570E">
        <w:rPr>
          <w:rFonts w:ascii="Palatino Linotype" w:hAnsi="Palatino Linotype" w:cs="Arial"/>
          <w:lang w:val="es-ES_tradnl"/>
        </w:rPr>
        <w:t xml:space="preserve"> cuyo contenido se detalla a continuación:</w:t>
      </w:r>
    </w:p>
    <w:p w:rsidR="00E52FA3" w:rsidRPr="0052570E" w:rsidRDefault="00E52FA3" w:rsidP="00E52FA3">
      <w:pPr>
        <w:pStyle w:val="Prrafodelista"/>
        <w:numPr>
          <w:ilvl w:val="0"/>
          <w:numId w:val="3"/>
        </w:numPr>
        <w:spacing w:line="360" w:lineRule="auto"/>
        <w:contextualSpacing w:val="0"/>
        <w:jc w:val="both"/>
        <w:rPr>
          <w:rFonts w:ascii="Palatino Linotype" w:hAnsi="Palatino Linotype" w:cs="Arial"/>
          <w:b/>
          <w:sz w:val="22"/>
          <w:szCs w:val="22"/>
        </w:rPr>
      </w:pPr>
      <w:r w:rsidRPr="0052570E">
        <w:rPr>
          <w:rFonts w:ascii="Palatino Linotype" w:hAnsi="Palatino Linotype" w:cs="Arial"/>
          <w:sz w:val="23"/>
          <w:szCs w:val="23"/>
          <w:lang w:val="es-ES_tradnl"/>
        </w:rPr>
        <w:t xml:space="preserve"> </w:t>
      </w:r>
      <w:bookmarkStart w:id="0" w:name="_Hlk530762245"/>
      <w:r w:rsidRPr="0052570E">
        <w:rPr>
          <w:rFonts w:ascii="Palatino Linotype" w:hAnsi="Palatino Linotype" w:cs="Arial"/>
          <w:b/>
          <w:sz w:val="22"/>
          <w:szCs w:val="22"/>
        </w:rPr>
        <w:t xml:space="preserve">Póliza de seguro de vida: </w:t>
      </w:r>
      <w:r w:rsidRPr="0052570E">
        <w:rPr>
          <w:rFonts w:ascii="Palatino Linotype" w:hAnsi="Palatino Linotype" w:cs="Arial"/>
          <w:sz w:val="22"/>
          <w:szCs w:val="22"/>
        </w:rPr>
        <w:t xml:space="preserve">Signada por ciudadano referido en la solicitud de información, engloba diversos datos tales como la cobertura solicitada, suma asegurada, importe, beneficiarios, tipo de pago, entre otros; de fecha dieciséis de diciembre de dos mil diecisiete. </w:t>
      </w:r>
    </w:p>
    <w:p w:rsidR="00E52FA3" w:rsidRPr="0052570E" w:rsidRDefault="00E52FA3" w:rsidP="00E52FA3">
      <w:pPr>
        <w:pStyle w:val="Prrafodelista"/>
        <w:numPr>
          <w:ilvl w:val="0"/>
          <w:numId w:val="3"/>
        </w:numPr>
        <w:spacing w:line="360" w:lineRule="auto"/>
        <w:contextualSpacing w:val="0"/>
        <w:jc w:val="both"/>
        <w:rPr>
          <w:rFonts w:ascii="Palatino Linotype" w:hAnsi="Palatino Linotype" w:cs="Arial"/>
          <w:b/>
          <w:sz w:val="22"/>
          <w:szCs w:val="22"/>
        </w:rPr>
      </w:pPr>
      <w:r w:rsidRPr="0052570E">
        <w:rPr>
          <w:rFonts w:ascii="Palatino Linotype" w:hAnsi="Palatino Linotype" w:cs="Arial"/>
          <w:b/>
          <w:sz w:val="22"/>
          <w:szCs w:val="22"/>
        </w:rPr>
        <w:lastRenderedPageBreak/>
        <w:t xml:space="preserve">Credencial para votar: </w:t>
      </w:r>
      <w:r w:rsidRPr="0052570E">
        <w:rPr>
          <w:rFonts w:ascii="Palatino Linotype" w:hAnsi="Palatino Linotype" w:cs="Arial"/>
          <w:sz w:val="22"/>
          <w:szCs w:val="22"/>
        </w:rPr>
        <w:t xml:space="preserve">Identificación oficial expedida a favor del ciudadano referido en la solicitud de información, emitida por el entonces Instituto Federal Electoral. </w:t>
      </w:r>
    </w:p>
    <w:p w:rsidR="00E52FA3" w:rsidRPr="0052570E" w:rsidRDefault="00E52FA3" w:rsidP="00E52FA3">
      <w:pPr>
        <w:pStyle w:val="Prrafodelista"/>
        <w:numPr>
          <w:ilvl w:val="0"/>
          <w:numId w:val="3"/>
        </w:numPr>
        <w:spacing w:line="360" w:lineRule="auto"/>
        <w:contextualSpacing w:val="0"/>
        <w:jc w:val="both"/>
        <w:rPr>
          <w:rFonts w:ascii="Palatino Linotype" w:hAnsi="Palatino Linotype" w:cs="Arial"/>
          <w:b/>
          <w:sz w:val="22"/>
          <w:szCs w:val="22"/>
        </w:rPr>
      </w:pPr>
      <w:r w:rsidRPr="0052570E">
        <w:rPr>
          <w:rFonts w:ascii="Palatino Linotype" w:hAnsi="Palatino Linotype" w:cs="Arial"/>
          <w:b/>
          <w:sz w:val="22"/>
          <w:szCs w:val="22"/>
        </w:rPr>
        <w:t xml:space="preserve">Acta de nacimiento: </w:t>
      </w:r>
      <w:r w:rsidRPr="0052570E">
        <w:rPr>
          <w:rFonts w:ascii="Palatino Linotype" w:hAnsi="Palatino Linotype" w:cs="Arial"/>
          <w:sz w:val="22"/>
          <w:szCs w:val="22"/>
        </w:rPr>
        <w:t>Signada por el Director General del Registro Civil, expedida a favor del ciudadano referido en la solicitud de información.</w:t>
      </w:r>
    </w:p>
    <w:p w:rsidR="00E52FA3" w:rsidRPr="0052570E" w:rsidRDefault="00E52FA3" w:rsidP="00E52FA3">
      <w:pPr>
        <w:pStyle w:val="Prrafodelista"/>
        <w:numPr>
          <w:ilvl w:val="0"/>
          <w:numId w:val="3"/>
        </w:numPr>
        <w:spacing w:line="360" w:lineRule="auto"/>
        <w:contextualSpacing w:val="0"/>
        <w:jc w:val="both"/>
        <w:rPr>
          <w:rFonts w:ascii="Palatino Linotype" w:hAnsi="Palatino Linotype" w:cs="Arial"/>
          <w:b/>
          <w:sz w:val="22"/>
          <w:szCs w:val="22"/>
        </w:rPr>
      </w:pPr>
      <w:r w:rsidRPr="0052570E">
        <w:rPr>
          <w:rFonts w:ascii="Palatino Linotype" w:hAnsi="Palatino Linotype" w:cs="Arial"/>
          <w:b/>
          <w:sz w:val="22"/>
          <w:szCs w:val="22"/>
        </w:rPr>
        <w:t xml:space="preserve">Acta de defunción: </w:t>
      </w:r>
      <w:r w:rsidRPr="0052570E">
        <w:rPr>
          <w:rFonts w:ascii="Palatino Linotype" w:hAnsi="Palatino Linotype" w:cs="Arial"/>
          <w:sz w:val="22"/>
          <w:szCs w:val="22"/>
        </w:rPr>
        <w:t>Signada por el Director General del Registro Civil, expedida a favor del ciudadano referido en la solicitud de información.</w:t>
      </w:r>
    </w:p>
    <w:p w:rsidR="00E52FA3" w:rsidRPr="0052570E" w:rsidRDefault="00E52FA3" w:rsidP="00E52FA3">
      <w:pPr>
        <w:pStyle w:val="Prrafodelista"/>
        <w:numPr>
          <w:ilvl w:val="0"/>
          <w:numId w:val="3"/>
        </w:numPr>
        <w:spacing w:line="360" w:lineRule="auto"/>
        <w:contextualSpacing w:val="0"/>
        <w:jc w:val="both"/>
        <w:rPr>
          <w:rFonts w:ascii="Palatino Linotype" w:hAnsi="Palatino Linotype" w:cs="Arial"/>
          <w:b/>
          <w:sz w:val="22"/>
          <w:szCs w:val="22"/>
        </w:rPr>
      </w:pPr>
      <w:r w:rsidRPr="0052570E">
        <w:rPr>
          <w:rFonts w:ascii="Palatino Linotype" w:hAnsi="Palatino Linotype" w:cs="Arial"/>
          <w:b/>
          <w:sz w:val="22"/>
          <w:szCs w:val="22"/>
        </w:rPr>
        <w:t xml:space="preserve">Acta de nacimiento: </w:t>
      </w:r>
      <w:r w:rsidRPr="0052570E">
        <w:rPr>
          <w:rFonts w:ascii="Palatino Linotype" w:hAnsi="Palatino Linotype" w:cs="Arial"/>
          <w:sz w:val="22"/>
          <w:szCs w:val="22"/>
        </w:rPr>
        <w:t xml:space="preserve">Signada por el Director General del Registro Civil, expedida a favor de </w:t>
      </w:r>
      <w:r w:rsidRPr="0052570E">
        <w:rPr>
          <w:rFonts w:ascii="Palatino Linotype" w:hAnsi="Palatino Linotype" w:cs="Arial"/>
          <w:b/>
          <w:sz w:val="22"/>
          <w:szCs w:val="22"/>
        </w:rPr>
        <w:t>La Recurrente</w:t>
      </w:r>
      <w:r w:rsidRPr="0052570E">
        <w:rPr>
          <w:rFonts w:ascii="Palatino Linotype" w:hAnsi="Palatino Linotype" w:cs="Arial"/>
          <w:sz w:val="22"/>
          <w:szCs w:val="22"/>
        </w:rPr>
        <w:t>.</w:t>
      </w:r>
    </w:p>
    <w:p w:rsidR="00E52FA3" w:rsidRPr="0052570E" w:rsidRDefault="00E52FA3" w:rsidP="00E52FA3">
      <w:pPr>
        <w:pStyle w:val="Prrafodelista"/>
        <w:numPr>
          <w:ilvl w:val="0"/>
          <w:numId w:val="3"/>
        </w:numPr>
        <w:spacing w:line="360" w:lineRule="auto"/>
        <w:contextualSpacing w:val="0"/>
        <w:jc w:val="both"/>
        <w:rPr>
          <w:rFonts w:ascii="Palatino Linotype" w:hAnsi="Palatino Linotype" w:cs="Arial"/>
          <w:b/>
          <w:sz w:val="22"/>
          <w:szCs w:val="22"/>
        </w:rPr>
      </w:pPr>
      <w:r w:rsidRPr="0052570E">
        <w:rPr>
          <w:rFonts w:ascii="Palatino Linotype" w:hAnsi="Palatino Linotype" w:cs="Arial"/>
          <w:b/>
          <w:sz w:val="22"/>
          <w:szCs w:val="22"/>
        </w:rPr>
        <w:t xml:space="preserve">Credencial para votar: </w:t>
      </w:r>
      <w:r w:rsidRPr="0052570E">
        <w:rPr>
          <w:rFonts w:ascii="Palatino Linotype" w:hAnsi="Palatino Linotype" w:cs="Arial"/>
          <w:sz w:val="22"/>
          <w:szCs w:val="22"/>
        </w:rPr>
        <w:t xml:space="preserve">Identificación oficial expedida a favor de </w:t>
      </w:r>
      <w:r w:rsidRPr="0052570E">
        <w:rPr>
          <w:rFonts w:ascii="Palatino Linotype" w:hAnsi="Palatino Linotype" w:cs="Arial"/>
          <w:b/>
          <w:sz w:val="22"/>
          <w:szCs w:val="22"/>
        </w:rPr>
        <w:t>La Recurrente</w:t>
      </w:r>
      <w:r w:rsidRPr="0052570E">
        <w:rPr>
          <w:rFonts w:ascii="Palatino Linotype" w:hAnsi="Palatino Linotype" w:cs="Arial"/>
          <w:sz w:val="22"/>
          <w:szCs w:val="22"/>
        </w:rPr>
        <w:t>, emitida por el Instituto Nacional Electoral.</w:t>
      </w:r>
      <w:r w:rsidRPr="0052570E">
        <w:rPr>
          <w:rFonts w:ascii="Palatino Linotype" w:hAnsi="Palatino Linotype" w:cs="Arial"/>
          <w:b/>
          <w:sz w:val="22"/>
          <w:szCs w:val="22"/>
        </w:rPr>
        <w:t xml:space="preserve"> </w:t>
      </w:r>
    </w:p>
    <w:bookmarkEnd w:id="0"/>
    <w:p w:rsidR="00F770ED" w:rsidRPr="0052570E" w:rsidRDefault="00F770ED" w:rsidP="00F770ED">
      <w:pPr>
        <w:spacing w:before="120" w:after="120" w:line="360" w:lineRule="auto"/>
        <w:jc w:val="both"/>
        <w:rPr>
          <w:rFonts w:ascii="Palatino Linotype" w:hAnsi="Palatino Linotype" w:cs="Arial"/>
          <w:sz w:val="23"/>
          <w:szCs w:val="23"/>
          <w:lang w:val="es-ES_tradnl"/>
        </w:rPr>
      </w:pPr>
    </w:p>
    <w:p w:rsidR="001B5080" w:rsidRPr="0052570E" w:rsidRDefault="00F770ED" w:rsidP="00F770ED">
      <w:pPr>
        <w:spacing w:before="120" w:line="360" w:lineRule="auto"/>
        <w:jc w:val="both"/>
        <w:rPr>
          <w:rFonts w:ascii="Palatino Linotype" w:hAnsi="Palatino Linotype" w:cs="Arial"/>
          <w:sz w:val="23"/>
          <w:szCs w:val="23"/>
        </w:rPr>
      </w:pPr>
      <w:r w:rsidRPr="0052570E">
        <w:rPr>
          <w:rFonts w:ascii="Palatino Linotype" w:hAnsi="Palatino Linotype" w:cs="Arial"/>
          <w:sz w:val="23"/>
          <w:szCs w:val="23"/>
          <w:lang w:val="es-ES_tradnl"/>
        </w:rPr>
        <w:t xml:space="preserve">En este sentido es de suma importancia mencionar que del análisis realizado a las constancias que integran el recurso de revisión al rubro indicado se aprecia que en fecha </w:t>
      </w:r>
      <w:r w:rsidR="00662CCB" w:rsidRPr="0052570E">
        <w:rPr>
          <w:rFonts w:ascii="Palatino Linotype" w:hAnsi="Palatino Linotype" w:cs="Arial"/>
          <w:sz w:val="23"/>
          <w:szCs w:val="23"/>
          <w:lang w:val="es-ES_tradnl"/>
        </w:rPr>
        <w:t xml:space="preserve">veinticinco </w:t>
      </w:r>
      <w:r w:rsidRPr="0052570E">
        <w:rPr>
          <w:rFonts w:ascii="Palatino Linotype" w:hAnsi="Palatino Linotype" w:cs="Arial"/>
          <w:sz w:val="23"/>
          <w:szCs w:val="23"/>
          <w:lang w:val="es-ES_tradnl"/>
        </w:rPr>
        <w:t>de octubre del presente año</w:t>
      </w:r>
      <w:r w:rsidR="00662CCB" w:rsidRPr="0052570E">
        <w:rPr>
          <w:rFonts w:ascii="Palatino Linotype" w:hAnsi="Palatino Linotype" w:cs="Arial"/>
          <w:sz w:val="23"/>
          <w:szCs w:val="23"/>
          <w:lang w:val="es-ES_tradnl"/>
        </w:rPr>
        <w:t xml:space="preserve"> se emitió acuerdo de admisión del recurso de revisión, r</w:t>
      </w:r>
      <w:r w:rsidR="001B5080" w:rsidRPr="0052570E">
        <w:rPr>
          <w:rFonts w:ascii="Palatino Linotype" w:hAnsi="Palatino Linotype" w:cs="Arial"/>
          <w:sz w:val="23"/>
          <w:szCs w:val="23"/>
          <w:lang w:val="es-ES_tradnl"/>
        </w:rPr>
        <w:t>esaltando que con fundamento</w:t>
      </w:r>
      <w:r w:rsidR="001B5080" w:rsidRPr="0052570E">
        <w:rPr>
          <w:rFonts w:ascii="Palatino Linotype" w:hAnsi="Palatino Linotype" w:cs="Arial"/>
          <w:sz w:val="23"/>
          <w:szCs w:val="23"/>
        </w:rPr>
        <w:t xml:space="preserve"> en los artículos 131 y 132, de la Ley de Protección de Datos Personales en Posesión de Sujetos Obligados del Estado de México y Municipios, se acordó conceder a las partes un término de siete días hábiles para que manifestaran, por cualquier medio, su voluntad de conciliar en el presente recurso, circunstancia que sucedió en el presente asunto, tal y como se muestra a continuación:</w:t>
      </w:r>
    </w:p>
    <w:p w:rsidR="00F770ED" w:rsidRPr="0052570E" w:rsidRDefault="001B5080" w:rsidP="001B5080">
      <w:pPr>
        <w:spacing w:before="120" w:line="360" w:lineRule="auto"/>
        <w:jc w:val="both"/>
        <w:rPr>
          <w:rFonts w:ascii="Palatino Linotype" w:hAnsi="Palatino Linotype" w:cs="Arial"/>
          <w:sz w:val="23"/>
          <w:szCs w:val="23"/>
        </w:rPr>
      </w:pPr>
      <w:r w:rsidRPr="0052570E">
        <w:rPr>
          <w:rFonts w:ascii="Palatino Linotype" w:hAnsi="Palatino Linotype" w:cs="Arial"/>
          <w:noProof/>
          <w:lang w:eastAsia="es-MX"/>
        </w:rPr>
        <w:lastRenderedPageBreak/>
        <w:drawing>
          <wp:inline distT="0" distB="0" distL="0" distR="0" wp14:anchorId="5D3690E8" wp14:editId="1162061A">
            <wp:extent cx="5669280" cy="6770503"/>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69280" cy="6770503"/>
                    </a:xfrm>
                    <a:prstGeom prst="rect">
                      <a:avLst/>
                    </a:prstGeom>
                    <a:noFill/>
                    <a:ln>
                      <a:noFill/>
                    </a:ln>
                  </pic:spPr>
                </pic:pic>
              </a:graphicData>
            </a:graphic>
          </wp:inline>
        </w:drawing>
      </w:r>
    </w:p>
    <w:p w:rsidR="00FE629C" w:rsidRDefault="001B5080" w:rsidP="00534FE0">
      <w:pPr>
        <w:spacing w:line="360" w:lineRule="auto"/>
        <w:jc w:val="both"/>
        <w:rPr>
          <w:rFonts w:ascii="Palatino Linotype" w:hAnsi="Palatino Linotype" w:cs="Arial"/>
          <w:sz w:val="23"/>
          <w:szCs w:val="23"/>
        </w:rPr>
      </w:pPr>
      <w:r w:rsidRPr="0052570E">
        <w:rPr>
          <w:rFonts w:ascii="Palatino Linotype" w:hAnsi="Palatino Linotype" w:cs="Arial"/>
          <w:sz w:val="23"/>
          <w:szCs w:val="23"/>
          <w:lang w:val="es-ES_tradnl"/>
        </w:rPr>
        <w:lastRenderedPageBreak/>
        <w:t>De las imágenes insertadas con antelación se advierte que en el presente asunto las partes manifestaron en fecha uno de noviembre de dos mil dieciocho su voluntad de conciliar, razón por la cual este Instituto con fundamento en el artículo 132 fracción II de la Ley de Protección de Datos Personales vigente en la entidad, fijo día y hora para la celebración de la audiencia de conciliaci</w:t>
      </w:r>
      <w:r w:rsidR="00534FE0" w:rsidRPr="0052570E">
        <w:rPr>
          <w:rFonts w:ascii="Palatino Linotype" w:hAnsi="Palatino Linotype" w:cs="Arial"/>
          <w:sz w:val="23"/>
          <w:szCs w:val="23"/>
          <w:lang w:val="es-ES_tradnl"/>
        </w:rPr>
        <w:t xml:space="preserve">ón, </w:t>
      </w:r>
      <w:r w:rsidR="00534FE0" w:rsidRPr="0052570E">
        <w:rPr>
          <w:rFonts w:ascii="Palatino Linotype" w:hAnsi="Palatino Linotype" w:cs="Arial"/>
          <w:sz w:val="23"/>
          <w:szCs w:val="23"/>
        </w:rPr>
        <w:t xml:space="preserve">misma que se desarrolló en el Instituto de Transparencia, </w:t>
      </w:r>
    </w:p>
    <w:p w:rsidR="00FE629C" w:rsidRDefault="00B12740" w:rsidP="00534FE0">
      <w:pPr>
        <w:spacing w:line="360" w:lineRule="auto"/>
        <w:jc w:val="both"/>
        <w:rPr>
          <w:rFonts w:ascii="Palatino Linotype" w:hAnsi="Palatino Linotype" w:cs="Arial"/>
          <w:sz w:val="23"/>
          <w:szCs w:val="23"/>
        </w:rPr>
      </w:pPr>
      <w:r>
        <w:rPr>
          <w:rFonts w:ascii="Palatino Linotype" w:hAnsi="Palatino Linotype" w:cs="Arial"/>
          <w:noProof/>
          <w:sz w:val="23"/>
          <w:szCs w:val="23"/>
          <w:lang w:eastAsia="es-MX"/>
        </w:rPr>
        <w:drawing>
          <wp:inline distT="0" distB="0" distL="0" distR="0">
            <wp:extent cx="5630061" cy="4972744"/>
            <wp:effectExtent l="0" t="0" r="889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in título.png"/>
                    <pic:cNvPicPr/>
                  </pic:nvPicPr>
                  <pic:blipFill>
                    <a:blip r:embed="rId8">
                      <a:extLst>
                        <a:ext uri="{28A0092B-C50C-407E-A947-70E740481C1C}">
                          <a14:useLocalDpi xmlns:a14="http://schemas.microsoft.com/office/drawing/2010/main" val="0"/>
                        </a:ext>
                      </a:extLst>
                    </a:blip>
                    <a:stretch>
                      <a:fillRect/>
                    </a:stretch>
                  </pic:blipFill>
                  <pic:spPr>
                    <a:xfrm>
                      <a:off x="0" y="0"/>
                      <a:ext cx="5630061" cy="4972744"/>
                    </a:xfrm>
                    <a:prstGeom prst="rect">
                      <a:avLst/>
                    </a:prstGeom>
                  </pic:spPr>
                </pic:pic>
              </a:graphicData>
            </a:graphic>
          </wp:inline>
        </w:drawing>
      </w:r>
    </w:p>
    <w:p w:rsidR="00534FE0" w:rsidRDefault="00534FE0" w:rsidP="00534FE0">
      <w:pPr>
        <w:spacing w:line="360" w:lineRule="auto"/>
        <w:jc w:val="both"/>
        <w:rPr>
          <w:rFonts w:ascii="Palatino Linotype" w:hAnsi="Palatino Linotype" w:cs="Arial"/>
          <w:sz w:val="23"/>
          <w:szCs w:val="23"/>
        </w:rPr>
      </w:pPr>
      <w:r w:rsidRPr="0052570E">
        <w:rPr>
          <w:rFonts w:ascii="Palatino Linotype" w:hAnsi="Palatino Linotype" w:cs="Arial"/>
          <w:sz w:val="23"/>
          <w:szCs w:val="23"/>
        </w:rPr>
        <w:lastRenderedPageBreak/>
        <w:t xml:space="preserve">Acceso a la Información Pública y Protección de Datos Personales del Estado de México </w:t>
      </w:r>
      <w:r w:rsidRPr="0052570E">
        <w:rPr>
          <w:rFonts w:ascii="Palatino Linotype" w:hAnsi="Palatino Linotype" w:cs="Arial"/>
          <w:b/>
          <w:sz w:val="23"/>
          <w:szCs w:val="23"/>
        </w:rPr>
        <w:t xml:space="preserve">(INFOEM), </w:t>
      </w:r>
      <w:r w:rsidRPr="0052570E">
        <w:rPr>
          <w:rFonts w:ascii="Palatino Linotype" w:hAnsi="Palatino Linotype" w:cs="Arial"/>
          <w:sz w:val="23"/>
          <w:szCs w:val="23"/>
        </w:rPr>
        <w:t xml:space="preserve">en la que se hizo constar lo siguiente: </w:t>
      </w:r>
    </w:p>
    <w:p w:rsidR="00FE629C" w:rsidRPr="0052570E" w:rsidRDefault="00FE629C" w:rsidP="00534FE0">
      <w:pPr>
        <w:spacing w:line="360" w:lineRule="auto"/>
        <w:jc w:val="both"/>
        <w:rPr>
          <w:rFonts w:ascii="Palatino Linotype" w:hAnsi="Palatino Linotype" w:cs="Arial"/>
          <w:sz w:val="23"/>
          <w:szCs w:val="23"/>
        </w:rPr>
      </w:pPr>
      <w:r>
        <w:rPr>
          <w:noProof/>
          <w:lang w:eastAsia="es-MX"/>
        </w:rPr>
        <w:drawing>
          <wp:inline distT="0" distB="0" distL="0" distR="0" wp14:anchorId="5156068D" wp14:editId="0E8C8BA5">
            <wp:extent cx="5645498" cy="591068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613" t="22030" r="33675" b="18991"/>
                    <a:stretch/>
                  </pic:blipFill>
                  <pic:spPr bwMode="auto">
                    <a:xfrm>
                      <a:off x="0" y="0"/>
                      <a:ext cx="5689364" cy="5956608"/>
                    </a:xfrm>
                    <a:prstGeom prst="rect">
                      <a:avLst/>
                    </a:prstGeom>
                    <a:ln>
                      <a:noFill/>
                    </a:ln>
                    <a:extLst>
                      <a:ext uri="{53640926-AAD7-44D8-BBD7-CCE9431645EC}">
                        <a14:shadowObscured xmlns:a14="http://schemas.microsoft.com/office/drawing/2010/main"/>
                      </a:ext>
                    </a:extLst>
                  </pic:spPr>
                </pic:pic>
              </a:graphicData>
            </a:graphic>
          </wp:inline>
        </w:drawing>
      </w:r>
    </w:p>
    <w:p w:rsidR="00534FE0" w:rsidRPr="0052570E" w:rsidRDefault="00792A2E" w:rsidP="00534FE0">
      <w:pPr>
        <w:pStyle w:val="Prrafodelista"/>
        <w:spacing w:line="360" w:lineRule="auto"/>
        <w:ind w:left="0"/>
        <w:contextualSpacing w:val="0"/>
        <w:jc w:val="both"/>
        <w:rPr>
          <w:rFonts w:ascii="Palatino Linotype" w:hAnsi="Palatino Linotype" w:cs="Arial"/>
          <w:b/>
          <w:sz w:val="28"/>
        </w:rPr>
      </w:pPr>
      <w:r>
        <w:rPr>
          <w:rFonts w:ascii="Palatino Linotype" w:hAnsi="Palatino Linotype" w:cs="Arial"/>
          <w:b/>
          <w:noProof/>
          <w:sz w:val="28"/>
          <w:lang w:val="es-MX" w:eastAsia="es-MX"/>
        </w:rPr>
        <w:lastRenderedPageBreak/>
        <w:drawing>
          <wp:inline distT="0" distB="0" distL="0" distR="0">
            <wp:extent cx="5658640" cy="6849431"/>
            <wp:effectExtent l="0" t="0" r="0" b="889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in título.png"/>
                    <pic:cNvPicPr/>
                  </pic:nvPicPr>
                  <pic:blipFill>
                    <a:blip r:embed="rId10">
                      <a:extLst>
                        <a:ext uri="{28A0092B-C50C-407E-A947-70E740481C1C}">
                          <a14:useLocalDpi xmlns:a14="http://schemas.microsoft.com/office/drawing/2010/main" val="0"/>
                        </a:ext>
                      </a:extLst>
                    </a:blip>
                    <a:stretch>
                      <a:fillRect/>
                    </a:stretch>
                  </pic:blipFill>
                  <pic:spPr>
                    <a:xfrm>
                      <a:off x="0" y="0"/>
                      <a:ext cx="5658640" cy="6849431"/>
                    </a:xfrm>
                    <a:prstGeom prst="rect">
                      <a:avLst/>
                    </a:prstGeom>
                  </pic:spPr>
                </pic:pic>
              </a:graphicData>
            </a:graphic>
          </wp:inline>
        </w:drawing>
      </w:r>
      <w:bookmarkStart w:id="1" w:name="_GoBack"/>
      <w:bookmarkEnd w:id="1"/>
    </w:p>
    <w:p w:rsidR="00FE629C" w:rsidRDefault="00FE629C" w:rsidP="00534FE0">
      <w:pPr>
        <w:pStyle w:val="Prrafodelista"/>
        <w:spacing w:line="360" w:lineRule="auto"/>
        <w:ind w:left="0"/>
        <w:contextualSpacing w:val="0"/>
        <w:jc w:val="both"/>
        <w:rPr>
          <w:rFonts w:ascii="Palatino Linotype" w:hAnsi="Palatino Linotype" w:cs="Arial"/>
          <w:sz w:val="23"/>
          <w:szCs w:val="23"/>
          <w:lang w:val="es-ES_tradnl"/>
        </w:rPr>
      </w:pPr>
    </w:p>
    <w:p w:rsidR="00534FE0" w:rsidRPr="0052570E" w:rsidRDefault="00534FE0" w:rsidP="00534FE0">
      <w:pPr>
        <w:pStyle w:val="Prrafodelista"/>
        <w:spacing w:line="360" w:lineRule="auto"/>
        <w:ind w:left="0"/>
        <w:contextualSpacing w:val="0"/>
        <w:jc w:val="both"/>
        <w:rPr>
          <w:rFonts w:ascii="Palatino Linotype" w:hAnsi="Palatino Linotype" w:cs="Arial"/>
          <w:lang w:val="es-ES_tradnl"/>
        </w:rPr>
      </w:pPr>
      <w:r w:rsidRPr="0052570E">
        <w:rPr>
          <w:rFonts w:ascii="Palatino Linotype" w:hAnsi="Palatino Linotype" w:cs="Arial"/>
          <w:sz w:val="23"/>
          <w:szCs w:val="23"/>
          <w:lang w:val="es-ES_tradnl"/>
        </w:rPr>
        <w:t xml:space="preserve">Cabe agregar que </w:t>
      </w:r>
      <w:r w:rsidRPr="0052570E">
        <w:rPr>
          <w:rFonts w:ascii="Palatino Linotype" w:hAnsi="Palatino Linotype" w:cs="Arial"/>
        </w:rPr>
        <w:t xml:space="preserve">de las constancias que obran en el </w:t>
      </w:r>
      <w:r w:rsidRPr="0052570E">
        <w:rPr>
          <w:rFonts w:ascii="Palatino Linotype" w:hAnsi="Palatino Linotype" w:cs="Arial"/>
          <w:b/>
        </w:rPr>
        <w:t xml:space="preserve">SARCOEM, </w:t>
      </w:r>
      <w:r w:rsidRPr="0052570E">
        <w:rPr>
          <w:rFonts w:ascii="Palatino Linotype" w:hAnsi="Palatino Linotype" w:cs="Arial"/>
        </w:rPr>
        <w:t>se advierte que el</w:t>
      </w:r>
      <w:r w:rsidRPr="0052570E">
        <w:rPr>
          <w:rFonts w:ascii="Palatino Linotype" w:hAnsi="Palatino Linotype" w:cs="Arial"/>
          <w:b/>
        </w:rPr>
        <w:t xml:space="preserve"> Sujeto Obligado</w:t>
      </w:r>
      <w:r w:rsidRPr="0052570E">
        <w:rPr>
          <w:rFonts w:ascii="Palatino Linotype" w:hAnsi="Palatino Linotype" w:cs="Arial"/>
        </w:rPr>
        <w:t xml:space="preserve">, en fecha catorce, veinte y veintiuno de noviembre de dos mil dieciocho, presentó su informe justificado a través de los archivos electrónicos denominados </w:t>
      </w:r>
      <w:r w:rsidRPr="0052570E">
        <w:rPr>
          <w:rFonts w:ascii="Palatino Linotype" w:hAnsi="Palatino Linotype" w:cs="Arial"/>
          <w:b/>
        </w:rPr>
        <w:t xml:space="preserve">“381.AD CONCILIACIÓN.pdf”, “OFICIO DE CUMPLIMIENTO 381.AD.pdf” </w:t>
      </w:r>
      <w:r w:rsidRPr="0052570E">
        <w:rPr>
          <w:rFonts w:ascii="Palatino Linotype" w:hAnsi="Palatino Linotype" w:cs="Arial"/>
        </w:rPr>
        <w:t xml:space="preserve">y </w:t>
      </w:r>
      <w:r w:rsidRPr="0052570E">
        <w:rPr>
          <w:rFonts w:ascii="Palatino Linotype" w:hAnsi="Palatino Linotype" w:cs="Arial"/>
          <w:b/>
        </w:rPr>
        <w:t xml:space="preserve">“ACUSE DE RECIBIDO 381.AD.pdf”, </w:t>
      </w:r>
      <w:r w:rsidRPr="0052570E">
        <w:rPr>
          <w:rFonts w:ascii="Palatino Linotype" w:hAnsi="Palatino Linotype" w:cs="Arial"/>
        </w:rPr>
        <w:t xml:space="preserve">por lo que con atención al artículo 185, fracción III, de la Ley de Transparencia local, </w:t>
      </w:r>
      <w:r w:rsidRPr="0052570E">
        <w:rPr>
          <w:rFonts w:ascii="Palatino Linotype" w:hAnsi="Palatino Linotype"/>
          <w:lang w:eastAsia="es-ES_tradnl"/>
        </w:rPr>
        <w:t>de aplicación supletoria</w:t>
      </w:r>
      <w:r w:rsidRPr="0052570E">
        <w:rPr>
          <w:rFonts w:ascii="Palatino Linotype" w:hAnsi="Palatino Linotype" w:cs="Arial"/>
        </w:rPr>
        <w:t xml:space="preserve"> a la ya citada Ley de Protección de Datos Personales en Posesión de Sujetos Obligados por disposición de su artículo 11</w:t>
      </w:r>
      <w:r w:rsidRPr="0052570E">
        <w:rPr>
          <w:rFonts w:ascii="Palatino Linotype" w:hAnsi="Palatino Linotype" w:cs="Arial"/>
          <w:lang w:val="es-ES_tradnl"/>
        </w:rPr>
        <w:t xml:space="preserve">; mismos que se pusieron a la vista de </w:t>
      </w:r>
      <w:r w:rsidRPr="0052570E">
        <w:rPr>
          <w:rFonts w:ascii="Palatino Linotype" w:hAnsi="Palatino Linotype" w:cs="Arial"/>
          <w:b/>
          <w:lang w:val="es-ES_tradnl"/>
        </w:rPr>
        <w:t>La Recurrente</w:t>
      </w:r>
      <w:r w:rsidRPr="0052570E">
        <w:rPr>
          <w:rFonts w:ascii="Palatino Linotype" w:hAnsi="Palatino Linotype" w:cs="Arial"/>
          <w:lang w:val="es-ES_tradnl"/>
        </w:rPr>
        <w:t xml:space="preserve"> los días dieciséis y veintidós del mismo mes y año, </w:t>
      </w:r>
      <w:r w:rsidRPr="0052570E">
        <w:rPr>
          <w:rFonts w:ascii="Palatino Linotype" w:hAnsi="Palatino Linotype" w:cs="Arial"/>
        </w:rPr>
        <w:t xml:space="preserve">para que dentro del plazo de tres días manifestara lo que a su derecho convenga; asimismo, </w:t>
      </w:r>
      <w:r w:rsidRPr="0052570E">
        <w:rPr>
          <w:rFonts w:ascii="Palatino Linotype" w:hAnsi="Palatino Linotype" w:cs="Arial"/>
          <w:lang w:val="es-ES_tradnl"/>
        </w:rPr>
        <w:t xml:space="preserve">se advierte que </w:t>
      </w:r>
      <w:r w:rsidRPr="0052570E">
        <w:rPr>
          <w:rFonts w:ascii="Palatino Linotype" w:hAnsi="Palatino Linotype" w:cs="Arial"/>
          <w:b/>
          <w:lang w:val="es-ES_tradnl"/>
        </w:rPr>
        <w:t>La Recurrente</w:t>
      </w:r>
      <w:r w:rsidRPr="0052570E">
        <w:rPr>
          <w:rFonts w:ascii="Palatino Linotype" w:hAnsi="Palatino Linotype" w:cs="Arial"/>
          <w:lang w:val="es-ES_tradnl"/>
        </w:rPr>
        <w:t xml:space="preserve"> no formuló manifestación alguna, ni alegatos; ni exhibió, en ese momento, prueba alguna.</w:t>
      </w:r>
    </w:p>
    <w:p w:rsidR="00F770ED" w:rsidRPr="0052570E" w:rsidRDefault="00F770ED" w:rsidP="00F770ED">
      <w:pPr>
        <w:spacing w:line="360" w:lineRule="auto"/>
        <w:jc w:val="both"/>
        <w:rPr>
          <w:rFonts w:ascii="Palatino Linotype" w:hAnsi="Palatino Linotype"/>
          <w:sz w:val="23"/>
          <w:szCs w:val="23"/>
        </w:rPr>
      </w:pPr>
      <w:r w:rsidRPr="0052570E">
        <w:rPr>
          <w:rFonts w:ascii="Palatino Linotype" w:hAnsi="Palatino Linotype" w:cs="Arial"/>
          <w:sz w:val="23"/>
          <w:szCs w:val="23"/>
          <w:lang w:val="es-ES_tradnl"/>
        </w:rPr>
        <w:t xml:space="preserve">Por lo que una vez sustanciado el medio de impugnación al rubro indicado, la Ponencia </w:t>
      </w:r>
      <w:r w:rsidRPr="0052570E">
        <w:rPr>
          <w:rFonts w:ascii="Palatino Linotype" w:hAnsi="Palatino Linotype"/>
          <w:sz w:val="23"/>
          <w:szCs w:val="23"/>
        </w:rPr>
        <w:t>determinó lo siguiente:</w:t>
      </w:r>
    </w:p>
    <w:p w:rsidR="00534FE0" w:rsidRPr="00BA497B" w:rsidRDefault="00F770ED" w:rsidP="00F770ED">
      <w:pPr>
        <w:spacing w:after="0" w:line="360" w:lineRule="auto"/>
        <w:ind w:left="851" w:right="851"/>
        <w:jc w:val="both"/>
        <w:rPr>
          <w:rFonts w:ascii="Palatino Linotype" w:hAnsi="Palatino Linotype"/>
          <w:b/>
          <w:bCs/>
          <w:i/>
        </w:rPr>
      </w:pPr>
      <w:r w:rsidRPr="00BA497B">
        <w:rPr>
          <w:rFonts w:ascii="Palatino Linotype" w:eastAsia="Times New Roman" w:hAnsi="Palatino Linotype" w:cs="Arial"/>
          <w:b/>
          <w:lang w:val="es-ES_tradnl" w:eastAsia="es-ES"/>
        </w:rPr>
        <w:t>“</w:t>
      </w:r>
      <w:r w:rsidRPr="00BA497B">
        <w:rPr>
          <w:rFonts w:ascii="Palatino Linotype" w:hAnsi="Palatino Linotype"/>
          <w:b/>
          <w:bCs/>
          <w:i/>
        </w:rPr>
        <w:t>…</w:t>
      </w:r>
    </w:p>
    <w:p w:rsidR="00F770ED" w:rsidRPr="00BA497B" w:rsidRDefault="00F770ED" w:rsidP="00F770ED">
      <w:pPr>
        <w:spacing w:after="0" w:line="360" w:lineRule="auto"/>
        <w:ind w:left="851" w:right="851"/>
        <w:jc w:val="both"/>
        <w:rPr>
          <w:rFonts w:ascii="Palatino Linotype" w:hAnsi="Palatino Linotype"/>
          <w:b/>
          <w:bCs/>
          <w:i/>
        </w:rPr>
      </w:pPr>
      <w:r w:rsidRPr="00BA497B">
        <w:rPr>
          <w:rFonts w:ascii="Palatino Linotype" w:hAnsi="Palatino Linotype"/>
          <w:b/>
          <w:i/>
          <w:lang w:val="es-ES_tradnl"/>
        </w:rPr>
        <w:t>PRIMERO.</w:t>
      </w:r>
      <w:r w:rsidR="00534FE0" w:rsidRPr="00BA497B">
        <w:rPr>
          <w:rFonts w:ascii="Palatino Linotype" w:hAnsi="Palatino Linotype"/>
          <w:i/>
        </w:rPr>
        <w:t xml:space="preserve"> </w:t>
      </w:r>
      <w:r w:rsidR="00534FE0" w:rsidRPr="00BA497B">
        <w:rPr>
          <w:rFonts w:ascii="Palatino Linotype" w:hAnsi="Palatino Linotype"/>
          <w:i/>
          <w:lang w:val="es-ES"/>
        </w:rPr>
        <w:t xml:space="preserve">Se </w:t>
      </w:r>
      <w:r w:rsidR="00534FE0" w:rsidRPr="00BA497B">
        <w:rPr>
          <w:rFonts w:ascii="Palatino Linotype" w:hAnsi="Palatino Linotype"/>
          <w:b/>
          <w:i/>
          <w:lang w:val="es-ES"/>
        </w:rPr>
        <w:t>SOBRESEE</w:t>
      </w:r>
      <w:r w:rsidR="00534FE0" w:rsidRPr="00BA497B">
        <w:rPr>
          <w:rFonts w:ascii="Palatino Linotype" w:hAnsi="Palatino Linotype"/>
          <w:i/>
          <w:lang w:val="es-ES"/>
        </w:rPr>
        <w:t xml:space="preserve"> el recurso de revisión número </w:t>
      </w:r>
      <w:r w:rsidR="00534FE0" w:rsidRPr="00BA497B">
        <w:rPr>
          <w:rFonts w:ascii="Palatino Linotype" w:hAnsi="Palatino Linotype"/>
          <w:b/>
          <w:i/>
          <w:lang w:val="es-ES"/>
        </w:rPr>
        <w:t xml:space="preserve">04025/INFOEM/AD/RR/2018 </w:t>
      </w:r>
      <w:r w:rsidR="00534FE0" w:rsidRPr="00BA497B">
        <w:rPr>
          <w:rFonts w:ascii="Palatino Linotype" w:hAnsi="Palatino Linotype"/>
          <w:i/>
          <w:lang w:val="es-ES"/>
        </w:rPr>
        <w:t>por quedarse sin materia</w:t>
      </w:r>
      <w:r w:rsidR="00534FE0" w:rsidRPr="00BA497B">
        <w:rPr>
          <w:rFonts w:ascii="Palatino Linotype" w:hAnsi="Palatino Linotype"/>
          <w:b/>
          <w:i/>
          <w:lang w:val="es-ES"/>
        </w:rPr>
        <w:t xml:space="preserve"> </w:t>
      </w:r>
      <w:r w:rsidR="00534FE0" w:rsidRPr="00BA497B">
        <w:rPr>
          <w:rFonts w:ascii="Palatino Linotype" w:hAnsi="Palatino Linotype"/>
          <w:i/>
          <w:lang w:val="es-ES"/>
        </w:rPr>
        <w:t xml:space="preserve">en términos del Considerando </w:t>
      </w:r>
      <w:r w:rsidR="00534FE0" w:rsidRPr="00BA497B">
        <w:rPr>
          <w:rFonts w:ascii="Palatino Linotype" w:hAnsi="Palatino Linotype"/>
          <w:b/>
          <w:i/>
          <w:lang w:val="es-ES"/>
        </w:rPr>
        <w:t>TERCERO</w:t>
      </w:r>
      <w:r w:rsidR="00534FE0" w:rsidRPr="00BA497B">
        <w:rPr>
          <w:rFonts w:ascii="Palatino Linotype" w:hAnsi="Palatino Linotype"/>
          <w:i/>
          <w:lang w:val="es-ES"/>
        </w:rPr>
        <w:t xml:space="preserve"> de la presente resolución.</w:t>
      </w:r>
      <w:r w:rsidRPr="00BA497B">
        <w:rPr>
          <w:rFonts w:ascii="Palatino Linotype" w:hAnsi="Palatino Linotype"/>
          <w:i/>
          <w:lang w:val="es-ES_tradnl"/>
        </w:rPr>
        <w:t xml:space="preserve"> </w:t>
      </w:r>
    </w:p>
    <w:p w:rsidR="00F770ED" w:rsidRPr="00BA497B" w:rsidRDefault="00F770ED" w:rsidP="00F770ED">
      <w:pPr>
        <w:spacing w:after="0" w:line="240" w:lineRule="auto"/>
        <w:ind w:left="851" w:right="851"/>
        <w:jc w:val="both"/>
        <w:rPr>
          <w:rFonts w:ascii="Palatino Linotype" w:hAnsi="Palatino Linotype"/>
          <w:b/>
          <w:i/>
          <w:lang w:val="es-ES_tradnl"/>
        </w:rPr>
      </w:pPr>
    </w:p>
    <w:p w:rsidR="00F770ED" w:rsidRPr="00BA497B" w:rsidRDefault="00F770ED" w:rsidP="00F770ED">
      <w:pPr>
        <w:spacing w:after="0" w:line="240" w:lineRule="auto"/>
        <w:ind w:left="851" w:right="851"/>
        <w:jc w:val="both"/>
        <w:rPr>
          <w:rFonts w:ascii="Palatino Linotype" w:hAnsi="Palatino Linotype"/>
          <w:i/>
          <w:lang w:val="es-ES"/>
        </w:rPr>
      </w:pPr>
      <w:r w:rsidRPr="00BA497B">
        <w:rPr>
          <w:rFonts w:ascii="Palatino Linotype" w:hAnsi="Palatino Linotype"/>
          <w:i/>
        </w:rPr>
        <w:t>…</w:t>
      </w:r>
    </w:p>
    <w:p w:rsidR="00534FE0" w:rsidRPr="00BA497B" w:rsidRDefault="00F770ED" w:rsidP="00BA497B">
      <w:pPr>
        <w:spacing w:after="0" w:line="360" w:lineRule="auto"/>
        <w:ind w:left="851" w:right="851"/>
        <w:jc w:val="both"/>
        <w:rPr>
          <w:rFonts w:ascii="Palatino Linotype" w:hAnsi="Palatino Linotype"/>
          <w:b/>
          <w:i/>
        </w:rPr>
      </w:pPr>
      <w:r w:rsidRPr="00BA497B">
        <w:rPr>
          <w:rFonts w:ascii="Palatino Linotype" w:hAnsi="Palatino Linotype"/>
          <w:b/>
          <w:i/>
          <w:lang w:val="es-ES_tradnl"/>
        </w:rPr>
        <w:t>Énfasis añadido.</w:t>
      </w:r>
    </w:p>
    <w:p w:rsidR="00BA497B" w:rsidRDefault="00BA497B" w:rsidP="00534FE0">
      <w:pPr>
        <w:spacing w:before="240" w:line="360" w:lineRule="auto"/>
        <w:contextualSpacing/>
        <w:jc w:val="both"/>
        <w:rPr>
          <w:rFonts w:ascii="Palatino Linotype" w:hAnsi="Palatino Linotype"/>
          <w:sz w:val="24"/>
          <w:szCs w:val="24"/>
        </w:rPr>
      </w:pPr>
      <w:r>
        <w:rPr>
          <w:rFonts w:ascii="Palatino Linotype" w:hAnsi="Palatino Linotype"/>
          <w:sz w:val="24"/>
          <w:szCs w:val="24"/>
        </w:rPr>
        <w:lastRenderedPageBreak/>
        <w:t>De manera previa considero pertinente hacer mención que en el recurso de revisión materia del presente voto se pretende acceder a un expediente clínico, motivo por el cual, estimo pertinente referir su naturaleza jurídica.</w:t>
      </w:r>
    </w:p>
    <w:p w:rsidR="00BA497B" w:rsidRPr="00BA497B" w:rsidRDefault="00BA497B" w:rsidP="00BA497B">
      <w:pPr>
        <w:pStyle w:val="Prrafodelista"/>
        <w:numPr>
          <w:ilvl w:val="0"/>
          <w:numId w:val="6"/>
        </w:numPr>
        <w:spacing w:before="240" w:line="360" w:lineRule="auto"/>
        <w:jc w:val="both"/>
        <w:rPr>
          <w:rFonts w:ascii="Palatino Linotype" w:hAnsi="Palatino Linotype"/>
          <w:sz w:val="22"/>
          <w:szCs w:val="22"/>
        </w:rPr>
      </w:pPr>
      <w:r w:rsidRPr="00BA497B">
        <w:rPr>
          <w:rFonts w:ascii="Palatino Linotype" w:hAnsi="Palatino Linotype"/>
          <w:b/>
          <w:sz w:val="22"/>
          <w:szCs w:val="22"/>
        </w:rPr>
        <w:t>Expediente clínico:</w:t>
      </w:r>
      <w:r w:rsidRPr="00BA497B">
        <w:rPr>
          <w:rFonts w:ascii="Palatino Linotype" w:hAnsi="Palatino Linotype"/>
          <w:sz w:val="22"/>
          <w:szCs w:val="22"/>
        </w:rPr>
        <w:t xml:space="preserve"> es el </w:t>
      </w:r>
      <w:r w:rsidRPr="00BA497B">
        <w:rPr>
          <w:rFonts w:ascii="Palatino Linotype" w:hAnsi="Palatino Linotype" w:cs="Arial"/>
          <w:sz w:val="22"/>
          <w:szCs w:val="22"/>
        </w:rPr>
        <w:t xml:space="preserve">conjunto único de información y Datos Personales de un paciente, que se integra dentro de todo tipo de establecimiento para la atención médica, ya sea público, social o privado, el cual, consta de documentos escritos, gráficos, </w:t>
      </w:r>
      <w:proofErr w:type="spellStart"/>
      <w:r w:rsidRPr="00BA497B">
        <w:rPr>
          <w:rFonts w:ascii="Palatino Linotype" w:hAnsi="Palatino Linotype" w:cs="Arial"/>
          <w:sz w:val="22"/>
          <w:szCs w:val="22"/>
        </w:rPr>
        <w:t>imagenológicos</w:t>
      </w:r>
      <w:proofErr w:type="spellEnd"/>
      <w:r w:rsidRPr="00BA497B">
        <w:rPr>
          <w:rFonts w:ascii="Palatino Linotype" w:hAnsi="Palatino Linotype" w:cs="Arial"/>
          <w:sz w:val="22"/>
          <w:szCs w:val="22"/>
        </w:rPr>
        <w:t>, electrónicos, y de cualquier otra índole, en los cuales, el personal de salud deberá hacer los registros, anotaciones, en su caso, constancias y certificaciones correspondientes a su intervención en la atención médica del paciente, con apego a las disposiciones jurídicas aplicables.</w:t>
      </w:r>
      <w:hyperlink r:id="rId11" w:history="1">
        <w:r w:rsidRPr="00BA497B">
          <w:rPr>
            <w:rStyle w:val="Hipervnculo"/>
            <w:rFonts w:ascii="Palatino Linotype" w:hAnsi="Palatino Linotype" w:cs="Arial"/>
            <w:color w:val="auto"/>
            <w:sz w:val="22"/>
            <w:szCs w:val="22"/>
          </w:rPr>
          <w:t> (NOM-004-SSA3-2012)D.O.F.</w:t>
        </w:r>
      </w:hyperlink>
      <w:r w:rsidRPr="00BA497B">
        <w:rPr>
          <w:rFonts w:ascii="Palatino Linotype" w:hAnsi="Palatino Linotype" w:cs="Arial"/>
          <w:sz w:val="22"/>
          <w:szCs w:val="22"/>
        </w:rPr>
        <w:t> </w:t>
      </w:r>
    </w:p>
    <w:p w:rsidR="00BA497B" w:rsidRDefault="00BA497B" w:rsidP="00BA497B">
      <w:pPr>
        <w:spacing w:before="240" w:after="240" w:line="360" w:lineRule="auto"/>
        <w:jc w:val="both"/>
        <w:rPr>
          <w:rFonts w:ascii="Palatino Linotype" w:hAnsi="Palatino Linotype" w:cs="Arial"/>
          <w:sz w:val="23"/>
          <w:szCs w:val="23"/>
        </w:rPr>
      </w:pPr>
      <w:r>
        <w:rPr>
          <w:rFonts w:ascii="Palatino Linotype" w:hAnsi="Palatino Linotype" w:cs="Arial"/>
          <w:sz w:val="23"/>
          <w:szCs w:val="23"/>
        </w:rPr>
        <w:t xml:space="preserve">Al respecto es de suma importancia mencionar que los </w:t>
      </w:r>
      <w:r w:rsidRPr="00BA497B">
        <w:rPr>
          <w:rFonts w:ascii="Palatino Linotype" w:hAnsi="Palatino Linotype" w:cs="Arial"/>
          <w:sz w:val="23"/>
          <w:szCs w:val="23"/>
        </w:rPr>
        <w:t xml:space="preserve">prestadores de servicios de atención médica de los establecimientos de carácter </w:t>
      </w:r>
      <w:r>
        <w:rPr>
          <w:rFonts w:ascii="Palatino Linotype" w:hAnsi="Palatino Linotype" w:cs="Arial"/>
          <w:sz w:val="23"/>
          <w:szCs w:val="23"/>
        </w:rPr>
        <w:t>público, social y privado, est</w:t>
      </w:r>
      <w:r w:rsidRPr="00BA497B">
        <w:rPr>
          <w:rFonts w:ascii="Palatino Linotype" w:hAnsi="Palatino Linotype" w:cs="Arial"/>
          <w:sz w:val="23"/>
          <w:szCs w:val="23"/>
        </w:rPr>
        <w:t>án obligados a integrar y conservar el </w:t>
      </w:r>
      <w:r w:rsidRPr="00BA497B">
        <w:rPr>
          <w:rStyle w:val="nfasis"/>
          <w:rFonts w:ascii="Palatino Linotype" w:hAnsi="Palatino Linotype" w:cs="Arial"/>
          <w:sz w:val="23"/>
          <w:szCs w:val="23"/>
        </w:rPr>
        <w:t>Expediente Clínico</w:t>
      </w:r>
      <w:r w:rsidRPr="00BA497B">
        <w:rPr>
          <w:rFonts w:ascii="Palatino Linotype" w:hAnsi="Palatino Linotype" w:cs="Arial"/>
          <w:sz w:val="23"/>
          <w:szCs w:val="23"/>
        </w:rPr>
        <w:t>. Los establecimientos serán solidariamente responsables respecto del cumplimiento de esta obligación, por parte del personal que preste sus servicios en los mismos, independientemente de la forma en que fu</w:t>
      </w:r>
      <w:r>
        <w:rPr>
          <w:rFonts w:ascii="Palatino Linotype" w:hAnsi="Palatino Linotype" w:cs="Arial"/>
          <w:sz w:val="23"/>
          <w:szCs w:val="23"/>
        </w:rPr>
        <w:t xml:space="preserve">ere contratado dicho personal, e donde todo </w:t>
      </w:r>
      <w:r>
        <w:rPr>
          <w:rStyle w:val="nfasis"/>
          <w:rFonts w:ascii="Palatino Linotype" w:hAnsi="Palatino Linotype" w:cs="Arial"/>
          <w:sz w:val="23"/>
          <w:szCs w:val="23"/>
        </w:rPr>
        <w:t>e</w:t>
      </w:r>
      <w:r w:rsidRPr="00BA497B">
        <w:rPr>
          <w:rStyle w:val="nfasis"/>
          <w:rFonts w:ascii="Palatino Linotype" w:hAnsi="Palatino Linotype" w:cs="Arial"/>
          <w:sz w:val="23"/>
          <w:szCs w:val="23"/>
        </w:rPr>
        <w:t>xpediente Clínico</w:t>
      </w:r>
      <w:r w:rsidRPr="00BA497B">
        <w:rPr>
          <w:rFonts w:ascii="Palatino Linotype" w:hAnsi="Palatino Linotype" w:cs="Arial"/>
          <w:sz w:val="23"/>
          <w:szCs w:val="23"/>
        </w:rPr>
        <w:t>, deberá tener los siguientes datos generales: Tipo, nombre y domicilio del establecimiento y en su caso, nombre de la Institución a la que pertenece; en su caso, la razón y denominación social del propietario o concesionario y, nombre, sexo</w:t>
      </w:r>
      <w:r>
        <w:rPr>
          <w:rFonts w:ascii="Palatino Linotype" w:hAnsi="Palatino Linotype" w:cs="Arial"/>
          <w:sz w:val="23"/>
          <w:szCs w:val="23"/>
        </w:rPr>
        <w:t>, edad y domicilio del paciente, es de agregar que el expediente clínico se integra por toda la información generada por la atención médica brindada al paciente, el expediente clínico se encuentra formado por los siguientes apartados:</w:t>
      </w:r>
    </w:p>
    <w:p w:rsidR="00BA497B" w:rsidRPr="00BA497B" w:rsidRDefault="00BA497B" w:rsidP="00BA497B">
      <w:pPr>
        <w:pStyle w:val="Prrafodelista"/>
        <w:numPr>
          <w:ilvl w:val="0"/>
          <w:numId w:val="7"/>
        </w:numPr>
        <w:spacing w:before="240" w:after="240" w:line="360" w:lineRule="auto"/>
        <w:jc w:val="both"/>
        <w:rPr>
          <w:rFonts w:ascii="Palatino Linotype" w:hAnsi="Palatino Linotype" w:cs="Arial"/>
          <w:sz w:val="22"/>
          <w:szCs w:val="22"/>
        </w:rPr>
      </w:pPr>
      <w:r w:rsidRPr="00BA497B">
        <w:rPr>
          <w:rFonts w:ascii="Palatino Linotype" w:hAnsi="Palatino Linotype" w:cs="Arial"/>
          <w:sz w:val="22"/>
          <w:szCs w:val="22"/>
          <w:shd w:val="clear" w:color="auto" w:fill="E5E5E5"/>
        </w:rPr>
        <w:lastRenderedPageBreak/>
        <w:t>Historia Clínica y Notas Medicas</w:t>
      </w:r>
    </w:p>
    <w:p w:rsidR="00BA497B" w:rsidRPr="00BA497B" w:rsidRDefault="00BA497B" w:rsidP="00BA497B">
      <w:pPr>
        <w:pStyle w:val="Prrafodelista"/>
        <w:numPr>
          <w:ilvl w:val="0"/>
          <w:numId w:val="7"/>
        </w:numPr>
        <w:spacing w:before="240" w:after="240" w:line="360" w:lineRule="auto"/>
        <w:jc w:val="both"/>
        <w:rPr>
          <w:rFonts w:ascii="Palatino Linotype" w:hAnsi="Palatino Linotype" w:cs="Arial"/>
          <w:sz w:val="22"/>
          <w:szCs w:val="22"/>
        </w:rPr>
      </w:pPr>
      <w:r w:rsidRPr="00BA497B">
        <w:rPr>
          <w:rFonts w:ascii="Palatino Linotype" w:hAnsi="Palatino Linotype" w:cs="Arial"/>
          <w:sz w:val="22"/>
          <w:szCs w:val="22"/>
          <w:shd w:val="clear" w:color="auto" w:fill="E5E5E5"/>
        </w:rPr>
        <w:t>Resultados de laboratorio realizados en el Instituto.</w:t>
      </w:r>
    </w:p>
    <w:p w:rsidR="00BA497B" w:rsidRPr="00BA497B" w:rsidRDefault="00BA497B" w:rsidP="00BA497B">
      <w:pPr>
        <w:pStyle w:val="Prrafodelista"/>
        <w:numPr>
          <w:ilvl w:val="0"/>
          <w:numId w:val="7"/>
        </w:numPr>
        <w:spacing w:before="240" w:after="240" w:line="360" w:lineRule="auto"/>
        <w:jc w:val="both"/>
        <w:rPr>
          <w:rFonts w:ascii="Palatino Linotype" w:hAnsi="Palatino Linotype" w:cs="Arial"/>
          <w:sz w:val="22"/>
          <w:szCs w:val="22"/>
        </w:rPr>
      </w:pPr>
      <w:r w:rsidRPr="00BA497B">
        <w:rPr>
          <w:rFonts w:ascii="Palatino Linotype" w:hAnsi="Palatino Linotype" w:cs="Arial"/>
          <w:sz w:val="22"/>
          <w:szCs w:val="22"/>
          <w:shd w:val="clear" w:color="auto" w:fill="E5E5E5"/>
        </w:rPr>
        <w:t>Resultados de estudio de gabinete realizados en el Instituto.</w:t>
      </w:r>
    </w:p>
    <w:p w:rsidR="00BA497B" w:rsidRPr="00BA497B" w:rsidRDefault="00BA497B" w:rsidP="00BA497B">
      <w:pPr>
        <w:pStyle w:val="Prrafodelista"/>
        <w:numPr>
          <w:ilvl w:val="0"/>
          <w:numId w:val="7"/>
        </w:numPr>
        <w:spacing w:before="240" w:after="240" w:line="360" w:lineRule="auto"/>
        <w:jc w:val="both"/>
        <w:rPr>
          <w:rFonts w:ascii="Palatino Linotype" w:hAnsi="Palatino Linotype" w:cs="Arial"/>
          <w:sz w:val="22"/>
          <w:szCs w:val="22"/>
        </w:rPr>
      </w:pPr>
      <w:r w:rsidRPr="00BA497B">
        <w:rPr>
          <w:rFonts w:ascii="Palatino Linotype" w:hAnsi="Palatino Linotype" w:cs="Arial"/>
          <w:sz w:val="22"/>
          <w:szCs w:val="22"/>
          <w:shd w:val="clear" w:color="auto" w:fill="E5E5E5"/>
        </w:rPr>
        <w:t>Hojas de Trabajo Social.</w:t>
      </w:r>
    </w:p>
    <w:p w:rsidR="00BA497B" w:rsidRPr="00BA497B" w:rsidRDefault="00BA497B" w:rsidP="00534FE0">
      <w:pPr>
        <w:pStyle w:val="Prrafodelista"/>
        <w:numPr>
          <w:ilvl w:val="0"/>
          <w:numId w:val="7"/>
        </w:numPr>
        <w:spacing w:before="240" w:after="240" w:line="360" w:lineRule="auto"/>
        <w:jc w:val="both"/>
        <w:rPr>
          <w:rFonts w:ascii="Palatino Linotype" w:hAnsi="Palatino Linotype" w:cs="Arial"/>
          <w:sz w:val="22"/>
          <w:szCs w:val="22"/>
        </w:rPr>
      </w:pPr>
      <w:r w:rsidRPr="00BA497B">
        <w:rPr>
          <w:rFonts w:ascii="Palatino Linotype" w:hAnsi="Palatino Linotype" w:cs="Arial"/>
          <w:sz w:val="22"/>
          <w:szCs w:val="22"/>
          <w:shd w:val="clear" w:color="auto" w:fill="E5E5E5"/>
        </w:rPr>
        <w:t>Otros Documentos: (</w:t>
      </w:r>
      <w:r w:rsidRPr="00BA497B">
        <w:rPr>
          <w:rFonts w:ascii="Palatino Linotype" w:hAnsi="Palatino Linotype" w:cs="Arial"/>
          <w:i/>
          <w:sz w:val="22"/>
          <w:szCs w:val="22"/>
          <w:shd w:val="clear" w:color="auto" w:fill="E5E5E5"/>
        </w:rPr>
        <w:t>Hoja de datos de egreso</w:t>
      </w:r>
      <w:r w:rsidRPr="00BA497B">
        <w:rPr>
          <w:rFonts w:ascii="Palatino Linotype" w:hAnsi="Palatino Linotype" w:cs="Arial"/>
          <w:i/>
          <w:sz w:val="22"/>
          <w:szCs w:val="22"/>
        </w:rPr>
        <w:t xml:space="preserve">, </w:t>
      </w:r>
      <w:r w:rsidRPr="00BA497B">
        <w:rPr>
          <w:rFonts w:ascii="Palatino Linotype" w:hAnsi="Palatino Linotype" w:cs="Arial"/>
          <w:i/>
          <w:sz w:val="22"/>
          <w:szCs w:val="22"/>
          <w:shd w:val="clear" w:color="auto" w:fill="E5E5E5"/>
        </w:rPr>
        <w:t>Hoja de enfermería</w:t>
      </w:r>
      <w:r w:rsidRPr="00BA497B">
        <w:rPr>
          <w:rFonts w:ascii="Palatino Linotype" w:hAnsi="Palatino Linotype" w:cs="Arial"/>
          <w:i/>
          <w:sz w:val="22"/>
          <w:szCs w:val="22"/>
        </w:rPr>
        <w:t xml:space="preserve">, </w:t>
      </w:r>
      <w:r w:rsidRPr="00BA497B">
        <w:rPr>
          <w:rFonts w:ascii="Palatino Linotype" w:hAnsi="Palatino Linotype" w:cs="Arial"/>
          <w:i/>
          <w:sz w:val="22"/>
          <w:szCs w:val="22"/>
          <w:shd w:val="clear" w:color="auto" w:fill="E5E5E5"/>
        </w:rPr>
        <w:t>Hoja de indicaciones médicas</w:t>
      </w:r>
      <w:r w:rsidRPr="00BA497B">
        <w:rPr>
          <w:rFonts w:ascii="Palatino Linotype" w:hAnsi="Palatino Linotype" w:cs="Arial"/>
          <w:sz w:val="22"/>
          <w:szCs w:val="22"/>
          <w:shd w:val="clear" w:color="auto" w:fill="E5E5E5"/>
        </w:rPr>
        <w:t>, etcétera)</w:t>
      </w:r>
    </w:p>
    <w:p w:rsidR="00534FE0" w:rsidRPr="0052570E" w:rsidRDefault="00BA497B" w:rsidP="00534FE0">
      <w:pPr>
        <w:spacing w:before="240" w:line="360" w:lineRule="auto"/>
        <w:contextualSpacing/>
        <w:jc w:val="both"/>
        <w:rPr>
          <w:rFonts w:ascii="Palatino Linotype" w:hAnsi="Palatino Linotype"/>
          <w:sz w:val="24"/>
          <w:szCs w:val="24"/>
        </w:rPr>
      </w:pPr>
      <w:r>
        <w:rPr>
          <w:rFonts w:ascii="Palatino Linotype" w:hAnsi="Palatino Linotype"/>
          <w:sz w:val="24"/>
          <w:szCs w:val="24"/>
        </w:rPr>
        <w:t xml:space="preserve">Una vez precisado lo anterior, </w:t>
      </w:r>
      <w:r w:rsidR="00534FE0" w:rsidRPr="0052570E">
        <w:rPr>
          <w:rFonts w:ascii="Palatino Linotype" w:hAnsi="Palatino Linotype"/>
          <w:sz w:val="24"/>
          <w:szCs w:val="24"/>
        </w:rPr>
        <w:t xml:space="preserve">debe </w:t>
      </w:r>
      <w:r>
        <w:rPr>
          <w:rFonts w:ascii="Palatino Linotype" w:hAnsi="Palatino Linotype"/>
          <w:sz w:val="24"/>
          <w:szCs w:val="24"/>
        </w:rPr>
        <w:t xml:space="preserve">mencionarse </w:t>
      </w:r>
      <w:r w:rsidR="00534FE0" w:rsidRPr="0052570E">
        <w:rPr>
          <w:rFonts w:ascii="Palatino Linotype" w:hAnsi="Palatino Linotype"/>
          <w:sz w:val="24"/>
          <w:szCs w:val="24"/>
        </w:rPr>
        <w:t xml:space="preserve">que no se comparte del todo el sentido de la resolución, lo anterior es así en virtud de que si bien es cierto la Ley de Protección de Datos Personales vigente en la entidad federativa contempla en los artículos 131 y 132 la conciliación, no obstante lo anterior, en primer momento considero pertinente precisar en qué consiste la figura jurídica en comento: </w:t>
      </w:r>
    </w:p>
    <w:p w:rsidR="00534FE0" w:rsidRPr="00BA497B" w:rsidRDefault="00534FE0" w:rsidP="00534FE0">
      <w:pPr>
        <w:pStyle w:val="Prrafodelista"/>
        <w:numPr>
          <w:ilvl w:val="0"/>
          <w:numId w:val="4"/>
        </w:numPr>
        <w:spacing w:before="240" w:line="360" w:lineRule="auto"/>
        <w:jc w:val="both"/>
        <w:rPr>
          <w:rFonts w:ascii="Palatino Linotype" w:eastAsiaTheme="minorHAnsi" w:hAnsi="Palatino Linotype" w:cstheme="minorBidi"/>
          <w:sz w:val="22"/>
          <w:szCs w:val="22"/>
          <w:lang w:eastAsia="en-US"/>
        </w:rPr>
      </w:pPr>
      <w:r w:rsidRPr="00BA497B">
        <w:rPr>
          <w:rFonts w:ascii="Palatino Linotype" w:eastAsia="Times New Roman" w:hAnsi="Palatino Linotype"/>
          <w:b/>
          <w:sz w:val="22"/>
          <w:szCs w:val="22"/>
          <w:lang w:eastAsia="es-MX"/>
        </w:rPr>
        <w:t>Conciliación:</w:t>
      </w:r>
      <w:r w:rsidRPr="00BA497B">
        <w:rPr>
          <w:rFonts w:ascii="Palatino Linotype" w:eastAsia="Times New Roman" w:hAnsi="Palatino Linotype"/>
          <w:sz w:val="22"/>
          <w:szCs w:val="22"/>
          <w:lang w:eastAsia="es-MX"/>
        </w:rPr>
        <w:t xml:space="preserve"> Proceso en el que uno o más conciliadores asisten a los interesados facilitándoles el diálogo y proponiendo soluciones legales, equitativas y justas al conflicto </w:t>
      </w:r>
      <w:r w:rsidRPr="00BA497B">
        <w:rPr>
          <w:rFonts w:ascii="Palatino Linotype" w:eastAsia="Times New Roman" w:hAnsi="Palatino Linotype"/>
          <w:i/>
          <w:sz w:val="22"/>
          <w:szCs w:val="22"/>
          <w:lang w:eastAsia="es-MX"/>
        </w:rPr>
        <w:t>(Ley de Mediación, Conciliación y Promoción de la Paz Social para el Estado de México</w:t>
      </w:r>
      <w:r w:rsidRPr="00BA497B">
        <w:rPr>
          <w:rFonts w:ascii="Palatino Linotype" w:eastAsia="Times New Roman" w:hAnsi="Palatino Linotype"/>
          <w:sz w:val="22"/>
          <w:szCs w:val="22"/>
          <w:lang w:eastAsia="es-MX"/>
        </w:rPr>
        <w:t>)</w:t>
      </w:r>
    </w:p>
    <w:p w:rsidR="00534FE0" w:rsidRPr="00E52FA3" w:rsidRDefault="00534FE0" w:rsidP="00534FE0">
      <w:pPr>
        <w:shd w:val="clear" w:color="auto" w:fill="FFFFFF"/>
        <w:spacing w:line="235" w:lineRule="atLeast"/>
        <w:jc w:val="both"/>
        <w:rPr>
          <w:rFonts w:ascii="Calibri" w:eastAsia="Times New Roman" w:hAnsi="Calibri" w:cs="Times New Roman"/>
          <w:lang w:eastAsia="es-MX"/>
        </w:rPr>
      </w:pPr>
      <w:r w:rsidRPr="00E52FA3">
        <w:rPr>
          <w:rFonts w:ascii="Times New Roman" w:eastAsia="Times New Roman" w:hAnsi="Times New Roman" w:cs="Times New Roman"/>
          <w:sz w:val="24"/>
          <w:szCs w:val="24"/>
          <w:lang w:eastAsia="es-MX"/>
        </w:rPr>
        <w:t> </w:t>
      </w:r>
    </w:p>
    <w:p w:rsidR="00534FE0" w:rsidRPr="00E52FA3" w:rsidRDefault="00534FE0" w:rsidP="00534FE0">
      <w:pPr>
        <w:shd w:val="clear" w:color="auto" w:fill="FFFFFF"/>
        <w:spacing w:after="0" w:line="360" w:lineRule="auto"/>
        <w:jc w:val="both"/>
        <w:rPr>
          <w:rFonts w:ascii="Palatino Linotype" w:eastAsia="Times New Roman" w:hAnsi="Palatino Linotype" w:cs="Times New Roman"/>
          <w:sz w:val="23"/>
          <w:szCs w:val="23"/>
          <w:lang w:eastAsia="es-MX"/>
        </w:rPr>
      </w:pPr>
      <w:r w:rsidRPr="0052570E">
        <w:rPr>
          <w:rFonts w:ascii="Palatino Linotype" w:eastAsia="Times New Roman" w:hAnsi="Palatino Linotype" w:cs="Times New Roman"/>
          <w:sz w:val="23"/>
          <w:szCs w:val="23"/>
          <w:lang w:eastAsia="es-MX"/>
        </w:rPr>
        <w:t xml:space="preserve">Al respecto es de suma importancia mencionar que el </w:t>
      </w:r>
      <w:r w:rsidRPr="00E52FA3">
        <w:rPr>
          <w:rFonts w:ascii="Palatino Linotype" w:eastAsia="Times New Roman" w:hAnsi="Palatino Linotype" w:cs="Times New Roman"/>
          <w:sz w:val="23"/>
          <w:szCs w:val="23"/>
          <w:lang w:eastAsia="es-MX"/>
        </w:rPr>
        <w:t>Reglamento del Centro de Mediación y Conciliación del Poder Judicial del Estado de México</w:t>
      </w:r>
      <w:r w:rsidRPr="0052570E">
        <w:rPr>
          <w:rFonts w:ascii="Palatino Linotype" w:eastAsia="Times New Roman" w:hAnsi="Palatino Linotype" w:cs="Times New Roman"/>
          <w:sz w:val="23"/>
          <w:szCs w:val="23"/>
          <w:lang w:eastAsia="es-MX"/>
        </w:rPr>
        <w:t xml:space="preserve"> refiere que l</w:t>
      </w:r>
      <w:r w:rsidRPr="00E52FA3">
        <w:rPr>
          <w:rFonts w:ascii="Palatino Linotype" w:eastAsia="Times New Roman" w:hAnsi="Palatino Linotype" w:cs="Times New Roman"/>
          <w:sz w:val="23"/>
          <w:szCs w:val="23"/>
          <w:lang w:eastAsia="es-MX"/>
        </w:rPr>
        <w:t xml:space="preserve">a </w:t>
      </w:r>
      <w:r w:rsidRPr="0052570E">
        <w:rPr>
          <w:rFonts w:ascii="Palatino Linotype" w:eastAsia="Times New Roman" w:hAnsi="Palatino Linotype" w:cs="Times New Roman"/>
          <w:sz w:val="23"/>
          <w:szCs w:val="23"/>
          <w:lang w:eastAsia="es-MX"/>
        </w:rPr>
        <w:t>conciliación se rige</w:t>
      </w:r>
      <w:r w:rsidRPr="00E52FA3">
        <w:rPr>
          <w:rFonts w:ascii="Palatino Linotype" w:eastAsia="Times New Roman" w:hAnsi="Palatino Linotype" w:cs="Times New Roman"/>
          <w:sz w:val="23"/>
          <w:szCs w:val="23"/>
          <w:lang w:eastAsia="es-MX"/>
        </w:rPr>
        <w:t xml:space="preserve"> por los principios de voluntariedad, gratuidad, neutralidad, confidencialidad e imparcialidad.</w:t>
      </w:r>
    </w:p>
    <w:p w:rsidR="00534FE0" w:rsidRPr="00BA497B" w:rsidRDefault="00534FE0" w:rsidP="00534FE0">
      <w:pPr>
        <w:pStyle w:val="Prrafodelista"/>
        <w:numPr>
          <w:ilvl w:val="0"/>
          <w:numId w:val="4"/>
        </w:numPr>
        <w:shd w:val="clear" w:color="auto" w:fill="FFFFFF"/>
        <w:spacing w:line="360" w:lineRule="auto"/>
        <w:jc w:val="both"/>
        <w:rPr>
          <w:rFonts w:ascii="Palatino Linotype" w:eastAsia="Times New Roman" w:hAnsi="Palatino Linotype"/>
          <w:sz w:val="22"/>
          <w:szCs w:val="22"/>
          <w:lang w:eastAsia="es-MX"/>
        </w:rPr>
      </w:pPr>
      <w:r w:rsidRPr="00BA497B">
        <w:rPr>
          <w:rFonts w:ascii="Palatino Linotype" w:eastAsia="Times New Roman" w:hAnsi="Palatino Linotype"/>
          <w:sz w:val="22"/>
          <w:szCs w:val="22"/>
          <w:lang w:eastAsia="es-MX"/>
        </w:rPr>
        <w:t>Principio de voluntariedad: La conciliación son voluntarias por lo que no podrán ser impuestas a persona alguna.</w:t>
      </w:r>
    </w:p>
    <w:p w:rsidR="00534FE0" w:rsidRPr="00BA497B" w:rsidRDefault="00534FE0" w:rsidP="00534FE0">
      <w:pPr>
        <w:pStyle w:val="Prrafodelista"/>
        <w:numPr>
          <w:ilvl w:val="0"/>
          <w:numId w:val="4"/>
        </w:numPr>
        <w:shd w:val="clear" w:color="auto" w:fill="FFFFFF"/>
        <w:spacing w:line="360" w:lineRule="auto"/>
        <w:jc w:val="both"/>
        <w:rPr>
          <w:rFonts w:ascii="Palatino Linotype" w:eastAsia="Times New Roman" w:hAnsi="Palatino Linotype"/>
          <w:sz w:val="22"/>
          <w:szCs w:val="22"/>
          <w:lang w:eastAsia="es-MX"/>
        </w:rPr>
      </w:pPr>
      <w:r w:rsidRPr="00BA497B">
        <w:rPr>
          <w:rFonts w:ascii="Palatino Linotype" w:eastAsia="Times New Roman" w:hAnsi="Palatino Linotype"/>
          <w:sz w:val="22"/>
          <w:szCs w:val="22"/>
          <w:lang w:eastAsia="es-MX"/>
        </w:rPr>
        <w:lastRenderedPageBreak/>
        <w:t>Principio de gratuidad: La conciliación es un servicio totalmente. No cobrará retribución alguna por la prestación de sus servicios. Queda prohibida toda clase de dádiva o gratificación.</w:t>
      </w:r>
    </w:p>
    <w:p w:rsidR="00534FE0" w:rsidRPr="00BA497B" w:rsidRDefault="00534FE0" w:rsidP="00534FE0">
      <w:pPr>
        <w:pStyle w:val="Prrafodelista"/>
        <w:numPr>
          <w:ilvl w:val="0"/>
          <w:numId w:val="4"/>
        </w:numPr>
        <w:shd w:val="clear" w:color="auto" w:fill="FFFFFF"/>
        <w:spacing w:line="360" w:lineRule="auto"/>
        <w:jc w:val="both"/>
        <w:rPr>
          <w:rFonts w:ascii="Palatino Linotype" w:eastAsia="Times New Roman" w:hAnsi="Palatino Linotype"/>
          <w:sz w:val="22"/>
          <w:szCs w:val="22"/>
          <w:lang w:eastAsia="es-MX"/>
        </w:rPr>
      </w:pPr>
      <w:r w:rsidRPr="00BA497B">
        <w:rPr>
          <w:rFonts w:ascii="Palatino Linotype" w:eastAsia="Times New Roman" w:hAnsi="Palatino Linotype"/>
          <w:sz w:val="22"/>
          <w:szCs w:val="22"/>
          <w:lang w:eastAsia="es-MX"/>
        </w:rPr>
        <w:t>Principio de neutralidad: Los conciliadores no deben hacer alianza con ninguno de los participantes en conflicto.</w:t>
      </w:r>
    </w:p>
    <w:p w:rsidR="00534FE0" w:rsidRPr="00BA497B" w:rsidRDefault="00534FE0" w:rsidP="00534FE0">
      <w:pPr>
        <w:pStyle w:val="Prrafodelista"/>
        <w:numPr>
          <w:ilvl w:val="0"/>
          <w:numId w:val="4"/>
        </w:numPr>
        <w:shd w:val="clear" w:color="auto" w:fill="FFFFFF"/>
        <w:spacing w:line="360" w:lineRule="auto"/>
        <w:jc w:val="both"/>
        <w:rPr>
          <w:rFonts w:ascii="Palatino Linotype" w:eastAsia="Times New Roman" w:hAnsi="Palatino Linotype"/>
          <w:sz w:val="22"/>
          <w:szCs w:val="22"/>
          <w:lang w:eastAsia="es-MX"/>
        </w:rPr>
      </w:pPr>
      <w:r w:rsidRPr="00BA497B">
        <w:rPr>
          <w:rFonts w:ascii="Palatino Linotype" w:eastAsia="Times New Roman" w:hAnsi="Palatino Linotype"/>
          <w:sz w:val="22"/>
          <w:szCs w:val="22"/>
          <w:lang w:eastAsia="es-MX"/>
        </w:rPr>
        <w:t>Principio de confidencialidad: No debe divulgarse lo ocurrido dentro de los procesos de mediación o conciliación, excepto con el consentimiento de la totalidad de los participantes involucrados.</w:t>
      </w:r>
    </w:p>
    <w:p w:rsidR="00534FE0" w:rsidRPr="00BA497B" w:rsidRDefault="00534FE0" w:rsidP="00534FE0">
      <w:pPr>
        <w:pStyle w:val="Prrafodelista"/>
        <w:numPr>
          <w:ilvl w:val="0"/>
          <w:numId w:val="4"/>
        </w:numPr>
        <w:shd w:val="clear" w:color="auto" w:fill="FFFFFF"/>
        <w:spacing w:line="360" w:lineRule="auto"/>
        <w:jc w:val="both"/>
        <w:rPr>
          <w:rFonts w:ascii="Palatino Linotype" w:eastAsia="Times New Roman" w:hAnsi="Palatino Linotype"/>
          <w:sz w:val="22"/>
          <w:szCs w:val="22"/>
          <w:lang w:eastAsia="es-MX"/>
        </w:rPr>
      </w:pPr>
      <w:r w:rsidRPr="00BA497B">
        <w:rPr>
          <w:rFonts w:ascii="Palatino Linotype" w:eastAsia="Times New Roman" w:hAnsi="Palatino Linotype"/>
          <w:sz w:val="22"/>
          <w:szCs w:val="22"/>
          <w:lang w:eastAsia="es-MX"/>
        </w:rPr>
        <w:t>Principio de imparcialidad: El mediador-conciliador asignado a un determinado asunto, no debe actuar a favor o en contra de alguno de los participantes en conflicto.</w:t>
      </w:r>
    </w:p>
    <w:p w:rsidR="00534FE0" w:rsidRPr="00E52FA3" w:rsidRDefault="00534FE0" w:rsidP="00534FE0">
      <w:pPr>
        <w:shd w:val="clear" w:color="auto" w:fill="FFFFFF"/>
        <w:spacing w:after="0" w:line="360" w:lineRule="auto"/>
        <w:jc w:val="both"/>
        <w:rPr>
          <w:rFonts w:ascii="Palatino Linotype" w:eastAsia="Times New Roman" w:hAnsi="Palatino Linotype" w:cs="Times New Roman"/>
          <w:sz w:val="23"/>
          <w:szCs w:val="23"/>
          <w:lang w:eastAsia="es-MX"/>
        </w:rPr>
      </w:pPr>
      <w:r w:rsidRPr="00E52FA3">
        <w:rPr>
          <w:rFonts w:ascii="Palatino Linotype" w:eastAsia="Times New Roman" w:hAnsi="Palatino Linotype" w:cs="Times New Roman"/>
          <w:sz w:val="23"/>
          <w:szCs w:val="23"/>
          <w:lang w:eastAsia="es-MX"/>
        </w:rPr>
        <w:t> </w:t>
      </w:r>
    </w:p>
    <w:p w:rsidR="00534FE0" w:rsidRPr="0052570E" w:rsidRDefault="00534FE0" w:rsidP="00534FE0">
      <w:pPr>
        <w:shd w:val="clear" w:color="auto" w:fill="FFFFFF"/>
        <w:spacing w:after="0" w:line="360" w:lineRule="auto"/>
        <w:jc w:val="both"/>
        <w:rPr>
          <w:rFonts w:ascii="Palatino Linotype" w:eastAsia="Times New Roman" w:hAnsi="Palatino Linotype" w:cs="Times New Roman"/>
          <w:sz w:val="23"/>
          <w:szCs w:val="23"/>
          <w:lang w:eastAsia="es-MX"/>
        </w:rPr>
      </w:pPr>
      <w:r w:rsidRPr="0052570E">
        <w:rPr>
          <w:rFonts w:ascii="Palatino Linotype" w:eastAsia="Times New Roman" w:hAnsi="Palatino Linotype" w:cs="Times New Roman"/>
          <w:sz w:val="23"/>
          <w:szCs w:val="23"/>
          <w:lang w:eastAsia="es-MX"/>
        </w:rPr>
        <w:t xml:space="preserve">Es de agregar que en el procedimiento de conciliación encontramos la existencia de un conciliador, que es la </w:t>
      </w:r>
      <w:r w:rsidRPr="00E52FA3">
        <w:rPr>
          <w:rFonts w:ascii="Palatino Linotype" w:eastAsia="Times New Roman" w:hAnsi="Palatino Linotype" w:cs="Times New Roman"/>
          <w:sz w:val="23"/>
          <w:szCs w:val="23"/>
          <w:lang w:eastAsia="es-MX"/>
        </w:rPr>
        <w:t xml:space="preserve">persona, con nombramiento oficial, capacitada para facilitar la comunicación y en su caso, proponer una solución a las partes que </w:t>
      </w:r>
      <w:r w:rsidRPr="0052570E">
        <w:rPr>
          <w:rFonts w:ascii="Palatino Linotype" w:eastAsia="Times New Roman" w:hAnsi="Palatino Linotype" w:cs="Times New Roman"/>
          <w:sz w:val="23"/>
          <w:szCs w:val="23"/>
          <w:lang w:eastAsia="es-MX"/>
        </w:rPr>
        <w:t xml:space="preserve">intervienen en una controversia, el cual tiene </w:t>
      </w:r>
      <w:r w:rsidRPr="00E52FA3">
        <w:rPr>
          <w:rFonts w:ascii="Palatino Linotype" w:eastAsia="Times New Roman" w:hAnsi="Palatino Linotype" w:cs="Times New Roman"/>
          <w:sz w:val="23"/>
          <w:szCs w:val="23"/>
          <w:lang w:eastAsia="es-MX"/>
        </w:rPr>
        <w:t>las obligaciones siguientes:</w:t>
      </w:r>
    </w:p>
    <w:p w:rsidR="00534FE0" w:rsidRPr="00BA497B" w:rsidRDefault="00534FE0" w:rsidP="00534FE0">
      <w:pPr>
        <w:pStyle w:val="Prrafodelista"/>
        <w:numPr>
          <w:ilvl w:val="0"/>
          <w:numId w:val="5"/>
        </w:numPr>
        <w:shd w:val="clear" w:color="auto" w:fill="FFFFFF"/>
        <w:spacing w:line="360" w:lineRule="auto"/>
        <w:jc w:val="both"/>
        <w:rPr>
          <w:rFonts w:ascii="Palatino Linotype" w:eastAsia="Times New Roman" w:hAnsi="Palatino Linotype"/>
          <w:sz w:val="22"/>
          <w:szCs w:val="22"/>
          <w:lang w:eastAsia="es-MX"/>
        </w:rPr>
      </w:pPr>
      <w:r w:rsidRPr="00BA497B">
        <w:rPr>
          <w:rFonts w:ascii="Palatino Linotype" w:eastAsia="Times New Roman" w:hAnsi="Palatino Linotype"/>
          <w:sz w:val="22"/>
          <w:szCs w:val="22"/>
          <w:lang w:eastAsia="es-MX"/>
        </w:rPr>
        <w:t>Desarrollar su función imparcial y neutralmente;</w:t>
      </w:r>
    </w:p>
    <w:p w:rsidR="00534FE0" w:rsidRPr="00BA497B" w:rsidRDefault="00534FE0" w:rsidP="00534FE0">
      <w:pPr>
        <w:pStyle w:val="Prrafodelista"/>
        <w:numPr>
          <w:ilvl w:val="0"/>
          <w:numId w:val="5"/>
        </w:numPr>
        <w:shd w:val="clear" w:color="auto" w:fill="FFFFFF"/>
        <w:spacing w:line="360" w:lineRule="auto"/>
        <w:jc w:val="both"/>
        <w:rPr>
          <w:rFonts w:ascii="Palatino Linotype" w:eastAsia="Times New Roman" w:hAnsi="Palatino Linotype"/>
          <w:sz w:val="22"/>
          <w:szCs w:val="22"/>
          <w:lang w:eastAsia="es-MX"/>
        </w:rPr>
      </w:pPr>
      <w:r w:rsidRPr="00BA497B">
        <w:rPr>
          <w:rFonts w:ascii="Palatino Linotype" w:eastAsia="Times New Roman" w:hAnsi="Palatino Linotype"/>
          <w:sz w:val="22"/>
          <w:szCs w:val="22"/>
          <w:lang w:eastAsia="es-MX"/>
        </w:rPr>
        <w:t>Realizar la conciliación en la forma y términos establecidos en el presente reglamento y demás disposiciones aplicables;</w:t>
      </w:r>
    </w:p>
    <w:p w:rsidR="00534FE0" w:rsidRPr="00BA497B" w:rsidRDefault="00534FE0" w:rsidP="00534FE0">
      <w:pPr>
        <w:pStyle w:val="Prrafodelista"/>
        <w:numPr>
          <w:ilvl w:val="0"/>
          <w:numId w:val="5"/>
        </w:numPr>
        <w:shd w:val="clear" w:color="auto" w:fill="FFFFFF"/>
        <w:spacing w:line="360" w:lineRule="auto"/>
        <w:jc w:val="both"/>
        <w:rPr>
          <w:rFonts w:ascii="Palatino Linotype" w:eastAsia="Times New Roman" w:hAnsi="Palatino Linotype"/>
          <w:sz w:val="22"/>
          <w:szCs w:val="22"/>
          <w:lang w:eastAsia="es-MX"/>
        </w:rPr>
      </w:pPr>
      <w:r w:rsidRPr="00BA497B">
        <w:rPr>
          <w:rFonts w:ascii="Palatino Linotype" w:eastAsia="Times New Roman" w:hAnsi="Palatino Linotype"/>
          <w:sz w:val="22"/>
          <w:szCs w:val="22"/>
          <w:lang w:eastAsia="es-MX"/>
        </w:rPr>
        <w:t>Vigilar que en el trámite de conciliación no se afecten derechos de terceros o intereses de menores o incapaces</w:t>
      </w:r>
    </w:p>
    <w:p w:rsidR="00534FE0" w:rsidRPr="00BA497B" w:rsidRDefault="00534FE0" w:rsidP="00534FE0">
      <w:pPr>
        <w:pStyle w:val="Prrafodelista"/>
        <w:numPr>
          <w:ilvl w:val="0"/>
          <w:numId w:val="5"/>
        </w:numPr>
        <w:shd w:val="clear" w:color="auto" w:fill="FFFFFF"/>
        <w:spacing w:line="360" w:lineRule="auto"/>
        <w:jc w:val="both"/>
        <w:rPr>
          <w:rFonts w:ascii="Palatino Linotype" w:eastAsia="Times New Roman" w:hAnsi="Palatino Linotype"/>
          <w:sz w:val="22"/>
          <w:szCs w:val="22"/>
          <w:lang w:eastAsia="es-MX"/>
        </w:rPr>
      </w:pPr>
      <w:r w:rsidRPr="00BA497B">
        <w:rPr>
          <w:rFonts w:ascii="Palatino Linotype" w:eastAsia="Times New Roman" w:hAnsi="Palatino Linotype"/>
          <w:sz w:val="22"/>
          <w:szCs w:val="22"/>
          <w:lang w:eastAsia="es-MX"/>
        </w:rPr>
        <w:t>Cerciorarse de que los interesados tengan correcto entendimiento del proceso y alcances de la conciliación desde su inicio hasta su conclusión.</w:t>
      </w:r>
    </w:p>
    <w:p w:rsidR="00534FE0" w:rsidRPr="00BA497B" w:rsidRDefault="00534FE0" w:rsidP="00534FE0">
      <w:pPr>
        <w:pStyle w:val="Prrafodelista"/>
        <w:numPr>
          <w:ilvl w:val="0"/>
          <w:numId w:val="5"/>
        </w:numPr>
        <w:shd w:val="clear" w:color="auto" w:fill="FFFFFF"/>
        <w:spacing w:line="360" w:lineRule="auto"/>
        <w:jc w:val="both"/>
        <w:rPr>
          <w:rFonts w:ascii="Palatino Linotype" w:eastAsia="Times New Roman" w:hAnsi="Palatino Linotype"/>
          <w:sz w:val="22"/>
          <w:szCs w:val="22"/>
          <w:lang w:eastAsia="es-MX"/>
        </w:rPr>
      </w:pPr>
      <w:r w:rsidRPr="00BA497B">
        <w:rPr>
          <w:rFonts w:ascii="Palatino Linotype" w:eastAsia="Times New Roman" w:hAnsi="Palatino Linotype"/>
          <w:sz w:val="22"/>
          <w:szCs w:val="22"/>
          <w:lang w:eastAsia="es-MX"/>
        </w:rPr>
        <w:lastRenderedPageBreak/>
        <w:t>Cerciorarse que la voluntad de los interesados no sufra algún vicio del consentimiento;</w:t>
      </w:r>
    </w:p>
    <w:p w:rsidR="00534FE0" w:rsidRPr="00BA497B" w:rsidRDefault="00534FE0" w:rsidP="00534FE0">
      <w:pPr>
        <w:pStyle w:val="Prrafodelista"/>
        <w:numPr>
          <w:ilvl w:val="0"/>
          <w:numId w:val="5"/>
        </w:numPr>
        <w:shd w:val="clear" w:color="auto" w:fill="FFFFFF"/>
        <w:spacing w:line="360" w:lineRule="auto"/>
        <w:jc w:val="both"/>
        <w:rPr>
          <w:rFonts w:ascii="Palatino Linotype" w:eastAsia="Times New Roman" w:hAnsi="Palatino Linotype"/>
          <w:sz w:val="22"/>
          <w:szCs w:val="22"/>
          <w:lang w:eastAsia="es-MX"/>
        </w:rPr>
      </w:pPr>
      <w:r w:rsidRPr="00BA497B">
        <w:rPr>
          <w:rFonts w:ascii="Palatino Linotype" w:eastAsia="Times New Roman" w:hAnsi="Palatino Linotype"/>
          <w:sz w:val="22"/>
          <w:szCs w:val="22"/>
          <w:lang w:eastAsia="es-MX"/>
        </w:rPr>
        <w:t>Facilitar la comunicación directa de los interesados;</w:t>
      </w:r>
    </w:p>
    <w:p w:rsidR="00534FE0" w:rsidRPr="00BA497B" w:rsidRDefault="00534FE0" w:rsidP="00534FE0">
      <w:pPr>
        <w:pStyle w:val="Prrafodelista"/>
        <w:numPr>
          <w:ilvl w:val="0"/>
          <w:numId w:val="5"/>
        </w:numPr>
        <w:shd w:val="clear" w:color="auto" w:fill="FFFFFF"/>
        <w:spacing w:line="360" w:lineRule="auto"/>
        <w:jc w:val="both"/>
        <w:rPr>
          <w:rFonts w:ascii="Palatino Linotype" w:eastAsia="Times New Roman" w:hAnsi="Palatino Linotype"/>
          <w:sz w:val="22"/>
          <w:szCs w:val="22"/>
          <w:lang w:eastAsia="es-MX"/>
        </w:rPr>
      </w:pPr>
      <w:r w:rsidRPr="00BA497B">
        <w:rPr>
          <w:rFonts w:ascii="Palatino Linotype" w:eastAsia="Times New Roman" w:hAnsi="Palatino Linotype"/>
          <w:sz w:val="22"/>
          <w:szCs w:val="22"/>
          <w:lang w:eastAsia="es-MX"/>
        </w:rPr>
        <w:t xml:space="preserve">Propiciar una satisfactoria composición de intereses, mediante el consentimiento informado de las partes; y </w:t>
      </w:r>
    </w:p>
    <w:p w:rsidR="00534FE0" w:rsidRPr="00BA497B" w:rsidRDefault="00534FE0" w:rsidP="00534FE0">
      <w:pPr>
        <w:pStyle w:val="Prrafodelista"/>
        <w:numPr>
          <w:ilvl w:val="0"/>
          <w:numId w:val="5"/>
        </w:numPr>
        <w:shd w:val="clear" w:color="auto" w:fill="FFFFFF"/>
        <w:spacing w:line="360" w:lineRule="auto"/>
        <w:jc w:val="both"/>
        <w:rPr>
          <w:rFonts w:ascii="Palatino Linotype" w:eastAsia="Times New Roman" w:hAnsi="Palatino Linotype"/>
          <w:sz w:val="22"/>
          <w:szCs w:val="22"/>
          <w:lang w:eastAsia="es-MX"/>
        </w:rPr>
      </w:pPr>
      <w:r w:rsidRPr="00BA497B">
        <w:rPr>
          <w:rFonts w:ascii="Palatino Linotype" w:eastAsia="Times New Roman" w:hAnsi="Palatino Linotype"/>
          <w:sz w:val="22"/>
          <w:szCs w:val="22"/>
          <w:lang w:eastAsia="es-MX"/>
        </w:rPr>
        <w:t>Acatar las demás disposiciones contenidas en las leyes, reglamentos, manuales, circulares, oficios y acuerdos relativos al servicio de la mediación o conciliación extrajudicial.</w:t>
      </w:r>
    </w:p>
    <w:p w:rsidR="001E372A" w:rsidRPr="0052570E" w:rsidRDefault="001E372A" w:rsidP="00534FE0">
      <w:pPr>
        <w:shd w:val="clear" w:color="auto" w:fill="FFFFFF"/>
        <w:spacing w:after="0" w:line="360" w:lineRule="auto"/>
        <w:jc w:val="both"/>
        <w:rPr>
          <w:rFonts w:ascii="Palatino Linotype" w:eastAsia="Times New Roman" w:hAnsi="Palatino Linotype" w:cs="Times New Roman"/>
          <w:sz w:val="23"/>
          <w:szCs w:val="23"/>
          <w:lang w:eastAsia="es-MX"/>
        </w:rPr>
      </w:pPr>
      <w:r w:rsidRPr="0052570E">
        <w:rPr>
          <w:rFonts w:ascii="Palatino Linotype" w:eastAsia="Times New Roman" w:hAnsi="Palatino Linotype" w:cs="Times New Roman"/>
          <w:sz w:val="23"/>
          <w:szCs w:val="23"/>
          <w:lang w:eastAsia="es-MX"/>
        </w:rPr>
        <w:t>Al respecto debe precisarse que en el caso en concreto, si bien es cierto en el presente asunto se llegó a un acuerdo conciliatorio en el que el sujeto Obligado se comprometió entregar la información requerida, previo pago de los derechos correspondientes, sin embargo a consideración del suscrito, en el presente asunto en el acuerdo de conciliación, de manera específica el personal adscrito a este Instituto debió hacerse una ponderación de los derechos que estaban en juego, lo anterior, con la finalidad de determinar si la persona que requiere acceder a la información tiene interés legítimo y jurídico para ello, se afirma lo anterior, en virtud de que no se debe perder de vista que en el presente asunto se pretende acceder a derechos de un tercero(</w:t>
      </w:r>
      <w:r w:rsidRPr="0052570E">
        <w:rPr>
          <w:rFonts w:ascii="Palatino Linotype" w:eastAsia="Times New Roman" w:hAnsi="Palatino Linotype" w:cs="Times New Roman"/>
          <w:i/>
          <w:sz w:val="23"/>
          <w:szCs w:val="23"/>
          <w:lang w:eastAsia="es-MX"/>
        </w:rPr>
        <w:t>persona fallecida</w:t>
      </w:r>
      <w:r w:rsidRPr="0052570E">
        <w:rPr>
          <w:rFonts w:ascii="Palatino Linotype" w:eastAsia="Times New Roman" w:hAnsi="Palatino Linotype" w:cs="Times New Roman"/>
          <w:sz w:val="23"/>
          <w:szCs w:val="23"/>
          <w:lang w:eastAsia="es-MX"/>
        </w:rPr>
        <w:t xml:space="preserve">), es decir, la impetrante si bien </w:t>
      </w:r>
      <w:r w:rsidR="00D56767" w:rsidRPr="0052570E">
        <w:rPr>
          <w:rFonts w:ascii="Palatino Linotype" w:eastAsia="Times New Roman" w:hAnsi="Palatino Linotype" w:cs="Times New Roman"/>
          <w:sz w:val="23"/>
          <w:szCs w:val="23"/>
          <w:lang w:eastAsia="es-MX"/>
        </w:rPr>
        <w:t>refiere ser la beneficiaria de una póliza de seguro, los datos contenidos en el expediente clínico requerido no pertenecen al impetrante.</w:t>
      </w:r>
    </w:p>
    <w:p w:rsidR="00D56767" w:rsidRPr="0052570E" w:rsidRDefault="00D56767" w:rsidP="00534FE0">
      <w:pPr>
        <w:shd w:val="clear" w:color="auto" w:fill="FFFFFF"/>
        <w:spacing w:after="0" w:line="360" w:lineRule="auto"/>
        <w:jc w:val="both"/>
        <w:rPr>
          <w:rFonts w:ascii="Palatino Linotype" w:eastAsia="Times New Roman" w:hAnsi="Palatino Linotype" w:cs="Times New Roman"/>
          <w:sz w:val="23"/>
          <w:szCs w:val="23"/>
          <w:lang w:eastAsia="es-MX"/>
        </w:rPr>
      </w:pPr>
      <w:r w:rsidRPr="0052570E">
        <w:rPr>
          <w:rFonts w:ascii="Palatino Linotype" w:eastAsia="Times New Roman" w:hAnsi="Palatino Linotype" w:cs="Times New Roman"/>
          <w:sz w:val="23"/>
          <w:szCs w:val="23"/>
          <w:lang w:eastAsia="es-MX"/>
        </w:rPr>
        <w:t xml:space="preserve">Por otra parte, se debió determinarse cuál era el contenido del expediente clínico en comento, lo anterior, para determinar si era pertinente otorgar el acceso total a los documentos que integran el expediente en comento, o solo a parte del mismo, toda vez que no se debe perder de vista que dichas documentales contienen información </w:t>
      </w:r>
      <w:r w:rsidRPr="0052570E">
        <w:rPr>
          <w:rFonts w:ascii="Palatino Linotype" w:eastAsia="Times New Roman" w:hAnsi="Palatino Linotype" w:cs="Times New Roman"/>
          <w:sz w:val="23"/>
          <w:szCs w:val="23"/>
          <w:lang w:eastAsia="es-MX"/>
        </w:rPr>
        <w:lastRenderedPageBreak/>
        <w:t>relacionadas con el estado salud de una persona distinta a la hoy recurrente, que de hacerse públicas pueden atentar el honor del titular de los datos solicitados, motivo por el cual y tomando en cuenta que este Órgano garante es el encargo de velar por la protección de datos personales, el actuar, de este Instituto en el presente asunto debió ser más participe en el procedimie</w:t>
      </w:r>
      <w:r w:rsidR="0052570E" w:rsidRPr="0052570E">
        <w:rPr>
          <w:rFonts w:ascii="Palatino Linotype" w:eastAsia="Times New Roman" w:hAnsi="Palatino Linotype" w:cs="Times New Roman"/>
          <w:sz w:val="23"/>
          <w:szCs w:val="23"/>
          <w:lang w:eastAsia="es-MX"/>
        </w:rPr>
        <w:t>nto en comento.</w:t>
      </w:r>
    </w:p>
    <w:p w:rsidR="00BA497B" w:rsidRDefault="0052570E" w:rsidP="00BA497B">
      <w:pPr>
        <w:shd w:val="clear" w:color="auto" w:fill="FFFFFF"/>
        <w:spacing w:after="0" w:line="360" w:lineRule="auto"/>
        <w:jc w:val="both"/>
        <w:rPr>
          <w:rFonts w:ascii="Palatino Linotype" w:eastAsia="Times New Roman" w:hAnsi="Palatino Linotype" w:cs="Times New Roman"/>
          <w:sz w:val="23"/>
          <w:szCs w:val="23"/>
          <w:lang w:eastAsia="es-MX"/>
        </w:rPr>
      </w:pPr>
      <w:r w:rsidRPr="0052570E">
        <w:rPr>
          <w:rFonts w:ascii="Palatino Linotype" w:eastAsia="Times New Roman" w:hAnsi="Palatino Linotype" w:cs="Times New Roman"/>
          <w:sz w:val="23"/>
          <w:szCs w:val="23"/>
          <w:lang w:eastAsia="es-MX"/>
        </w:rPr>
        <w:t xml:space="preserve">Lo anterior, es así en virtud de que </w:t>
      </w:r>
      <w:r w:rsidR="00D56767" w:rsidRPr="0052570E">
        <w:rPr>
          <w:rFonts w:ascii="Palatino Linotype" w:eastAsia="Times New Roman" w:hAnsi="Palatino Linotype" w:cs="Times New Roman"/>
          <w:sz w:val="23"/>
          <w:szCs w:val="23"/>
          <w:lang w:eastAsia="es-MX"/>
        </w:rPr>
        <w:t xml:space="preserve">si bien es cierto las partes que intervienen en un procedimiento de conciliación realizan las propuestas que </w:t>
      </w:r>
      <w:r w:rsidRPr="0052570E">
        <w:rPr>
          <w:rFonts w:ascii="Palatino Linotype" w:eastAsia="Times New Roman" w:hAnsi="Palatino Linotype" w:cs="Times New Roman"/>
          <w:sz w:val="23"/>
          <w:szCs w:val="23"/>
          <w:lang w:eastAsia="es-MX"/>
        </w:rPr>
        <w:t xml:space="preserve">a sus derechos </w:t>
      </w:r>
      <w:r w:rsidR="00D56767" w:rsidRPr="0052570E">
        <w:rPr>
          <w:rFonts w:ascii="Palatino Linotype" w:eastAsia="Times New Roman" w:hAnsi="Palatino Linotype" w:cs="Times New Roman"/>
          <w:sz w:val="23"/>
          <w:szCs w:val="23"/>
          <w:lang w:eastAsia="es-MX"/>
        </w:rPr>
        <w:t>estimen pertinentes</w:t>
      </w:r>
      <w:r w:rsidRPr="0052570E">
        <w:rPr>
          <w:rFonts w:ascii="Palatino Linotype" w:eastAsia="Times New Roman" w:hAnsi="Palatino Linotype" w:cs="Times New Roman"/>
          <w:sz w:val="23"/>
          <w:szCs w:val="23"/>
          <w:lang w:eastAsia="es-MX"/>
        </w:rPr>
        <w:t xml:space="preserve">, sin embargo no se debe soslayar que el conciliador es el </w:t>
      </w:r>
      <w:r w:rsidR="00534FE0" w:rsidRPr="00E52FA3">
        <w:rPr>
          <w:rFonts w:ascii="Palatino Linotype" w:eastAsia="Times New Roman" w:hAnsi="Palatino Linotype" w:cs="Times New Roman"/>
          <w:sz w:val="23"/>
          <w:szCs w:val="23"/>
          <w:lang w:eastAsia="es-MX"/>
        </w:rPr>
        <w:t>encargado de vigilar que el procedimiento se lleve a cabo conforme a lo establecido en la normatividad de la materia</w:t>
      </w:r>
      <w:r w:rsidRPr="0052570E">
        <w:rPr>
          <w:rFonts w:ascii="Palatino Linotype" w:eastAsia="Times New Roman" w:hAnsi="Palatino Linotype" w:cs="Times New Roman"/>
          <w:sz w:val="23"/>
          <w:szCs w:val="23"/>
          <w:lang w:eastAsia="es-MX"/>
        </w:rPr>
        <w:t>,</w:t>
      </w:r>
      <w:r w:rsidR="00534FE0" w:rsidRPr="00E52FA3">
        <w:rPr>
          <w:rFonts w:ascii="Palatino Linotype" w:eastAsia="Times New Roman" w:hAnsi="Palatino Linotype" w:cs="Times New Roman"/>
          <w:sz w:val="23"/>
          <w:szCs w:val="23"/>
          <w:lang w:eastAsia="es-MX"/>
        </w:rPr>
        <w:t xml:space="preserve"> </w:t>
      </w:r>
      <w:r w:rsidRPr="0052570E">
        <w:rPr>
          <w:rFonts w:ascii="Palatino Linotype" w:eastAsia="Times New Roman" w:hAnsi="Palatino Linotype" w:cs="Times New Roman"/>
          <w:sz w:val="23"/>
          <w:szCs w:val="23"/>
          <w:lang w:eastAsia="es-MX"/>
        </w:rPr>
        <w:t xml:space="preserve">vigilando </w:t>
      </w:r>
      <w:r w:rsidR="00534FE0" w:rsidRPr="00E52FA3">
        <w:rPr>
          <w:rFonts w:ascii="Palatino Linotype" w:eastAsia="Times New Roman" w:hAnsi="Palatino Linotype" w:cs="Times New Roman"/>
          <w:sz w:val="23"/>
          <w:szCs w:val="23"/>
          <w:lang w:eastAsia="es-MX"/>
        </w:rPr>
        <w:t xml:space="preserve">en todo momento que </w:t>
      </w:r>
      <w:r w:rsidRPr="0052570E">
        <w:rPr>
          <w:rFonts w:ascii="Palatino Linotype" w:eastAsia="Times New Roman" w:hAnsi="Palatino Linotype" w:cs="Times New Roman"/>
          <w:sz w:val="23"/>
          <w:szCs w:val="23"/>
          <w:lang w:eastAsia="es-MX"/>
        </w:rPr>
        <w:t xml:space="preserve">durante la tramitación del procedimiento </w:t>
      </w:r>
      <w:r w:rsidR="00534FE0" w:rsidRPr="00E52FA3">
        <w:rPr>
          <w:rFonts w:ascii="Palatino Linotype" w:eastAsia="Times New Roman" w:hAnsi="Palatino Linotype" w:cs="Times New Roman"/>
          <w:sz w:val="23"/>
          <w:szCs w:val="23"/>
          <w:lang w:eastAsia="es-MX"/>
        </w:rPr>
        <w:t>de conciliación no se afecten derechos de terceros o intereses de menores o incapaces</w:t>
      </w:r>
      <w:r w:rsidRPr="0052570E">
        <w:rPr>
          <w:rFonts w:ascii="Palatino Linotype" w:eastAsia="Times New Roman" w:hAnsi="Palatino Linotype" w:cs="Times New Roman"/>
          <w:sz w:val="23"/>
          <w:szCs w:val="23"/>
          <w:lang w:eastAsia="es-MX"/>
        </w:rPr>
        <w:t>,</w:t>
      </w:r>
      <w:r w:rsidR="00534FE0" w:rsidRPr="00E52FA3">
        <w:rPr>
          <w:rFonts w:ascii="Palatino Linotype" w:eastAsia="Times New Roman" w:hAnsi="Palatino Linotype" w:cs="Times New Roman"/>
          <w:sz w:val="23"/>
          <w:szCs w:val="23"/>
          <w:lang w:eastAsia="es-MX"/>
        </w:rPr>
        <w:t>  tal y como lo mencionan los principios que son ejes rectore</w:t>
      </w:r>
      <w:r w:rsidRPr="0052570E">
        <w:rPr>
          <w:rFonts w:ascii="Palatino Linotype" w:eastAsia="Times New Roman" w:hAnsi="Palatino Linotype" w:cs="Times New Roman"/>
          <w:sz w:val="23"/>
          <w:szCs w:val="23"/>
          <w:lang w:eastAsia="es-MX"/>
        </w:rPr>
        <w:t xml:space="preserve">s y esencia de la conciliación, </w:t>
      </w:r>
      <w:r w:rsidR="00534FE0" w:rsidRPr="00E52FA3">
        <w:rPr>
          <w:rFonts w:ascii="Palatino Linotype" w:eastAsia="Times New Roman" w:hAnsi="Palatino Linotype" w:cs="Times New Roman"/>
          <w:sz w:val="23"/>
          <w:szCs w:val="23"/>
          <w:lang w:eastAsia="es-MX"/>
        </w:rPr>
        <w:t>como mecanismo alternativo de solución de controversias.</w:t>
      </w:r>
    </w:p>
    <w:p w:rsidR="00F770ED" w:rsidRPr="00BA497B" w:rsidRDefault="0052570E" w:rsidP="00BA497B">
      <w:pPr>
        <w:shd w:val="clear" w:color="auto" w:fill="FFFFFF"/>
        <w:spacing w:after="0" w:line="360" w:lineRule="auto"/>
        <w:jc w:val="both"/>
        <w:rPr>
          <w:rFonts w:ascii="Palatino Linotype" w:eastAsia="Times New Roman" w:hAnsi="Palatino Linotype" w:cs="Times New Roman"/>
          <w:sz w:val="23"/>
          <w:szCs w:val="23"/>
          <w:lang w:eastAsia="es-MX"/>
        </w:rPr>
      </w:pPr>
      <w:r w:rsidRPr="0052570E">
        <w:rPr>
          <w:rFonts w:ascii="Palatino Linotype" w:eastAsia="Times New Roman" w:hAnsi="Palatino Linotype" w:cs="Times New Roman"/>
          <w:sz w:val="23"/>
          <w:szCs w:val="23"/>
          <w:lang w:val="es-ES_tradnl" w:eastAsia="es-ES"/>
        </w:rPr>
        <w:t>L</w:t>
      </w:r>
      <w:proofErr w:type="spellStart"/>
      <w:r w:rsidRPr="0052570E">
        <w:rPr>
          <w:rFonts w:ascii="Palatino Linotype" w:hAnsi="Palatino Linotype"/>
          <w:sz w:val="23"/>
          <w:szCs w:val="23"/>
        </w:rPr>
        <w:t>o</w:t>
      </w:r>
      <w:proofErr w:type="spellEnd"/>
      <w:r w:rsidR="00F770ED" w:rsidRPr="0052570E">
        <w:rPr>
          <w:rFonts w:ascii="Palatino Linotype" w:hAnsi="Palatino Linotype"/>
          <w:sz w:val="23"/>
          <w:szCs w:val="23"/>
        </w:rPr>
        <w:t xml:space="preserve"> anterior, son razones suficientes para la emisión y presentación del presente Voto Particular relacionado con la resolución del recurso de revisión referido. </w:t>
      </w:r>
    </w:p>
    <w:p w:rsidR="00F770ED" w:rsidRPr="0052570E" w:rsidRDefault="00F770ED" w:rsidP="00F770ED">
      <w:pPr>
        <w:spacing w:after="0" w:line="240" w:lineRule="auto"/>
        <w:jc w:val="center"/>
        <w:rPr>
          <w:rFonts w:ascii="Palatino Linotype" w:hAnsi="Palatino Linotype"/>
          <w:b/>
          <w:sz w:val="24"/>
          <w:szCs w:val="24"/>
        </w:rPr>
      </w:pPr>
    </w:p>
    <w:p w:rsidR="00F770ED" w:rsidRPr="0052570E" w:rsidRDefault="00F770ED" w:rsidP="00F770ED">
      <w:pPr>
        <w:spacing w:after="0" w:line="240" w:lineRule="auto"/>
        <w:rPr>
          <w:rFonts w:ascii="Palatino Linotype" w:hAnsi="Palatino Linotype"/>
          <w:b/>
          <w:sz w:val="24"/>
          <w:szCs w:val="24"/>
        </w:rPr>
      </w:pPr>
    </w:p>
    <w:p w:rsidR="00F770ED" w:rsidRPr="0052570E" w:rsidRDefault="00F770ED" w:rsidP="00F770ED">
      <w:pPr>
        <w:spacing w:after="0" w:line="240" w:lineRule="auto"/>
        <w:jc w:val="center"/>
        <w:rPr>
          <w:rFonts w:ascii="Palatino Linotype" w:hAnsi="Palatino Linotype"/>
          <w:b/>
          <w:sz w:val="24"/>
          <w:szCs w:val="24"/>
        </w:rPr>
      </w:pPr>
    </w:p>
    <w:p w:rsidR="00F770ED" w:rsidRPr="0052570E" w:rsidRDefault="00F770ED" w:rsidP="00F770ED">
      <w:pPr>
        <w:spacing w:after="0" w:line="240" w:lineRule="auto"/>
        <w:jc w:val="center"/>
        <w:rPr>
          <w:rFonts w:ascii="Palatino Linotype" w:hAnsi="Palatino Linotype"/>
          <w:b/>
          <w:sz w:val="24"/>
          <w:szCs w:val="24"/>
        </w:rPr>
      </w:pPr>
    </w:p>
    <w:p w:rsidR="00F770ED" w:rsidRPr="0052570E" w:rsidRDefault="00F770ED" w:rsidP="00F770ED">
      <w:pPr>
        <w:spacing w:after="0" w:line="240" w:lineRule="auto"/>
        <w:jc w:val="center"/>
        <w:rPr>
          <w:rFonts w:ascii="Palatino Linotype" w:hAnsi="Palatino Linotype"/>
          <w:b/>
          <w:sz w:val="24"/>
          <w:szCs w:val="24"/>
        </w:rPr>
      </w:pPr>
      <w:r w:rsidRPr="0052570E">
        <w:rPr>
          <w:rFonts w:ascii="Palatino Linotype" w:hAnsi="Palatino Linotype"/>
          <w:b/>
          <w:sz w:val="24"/>
          <w:szCs w:val="24"/>
        </w:rPr>
        <w:t>Javier Martínez Cruz</w:t>
      </w:r>
    </w:p>
    <w:p w:rsidR="00F770ED" w:rsidRPr="0052570E" w:rsidRDefault="00F770ED" w:rsidP="00F770ED">
      <w:pPr>
        <w:spacing w:after="0" w:line="240" w:lineRule="auto"/>
        <w:jc w:val="center"/>
        <w:rPr>
          <w:rFonts w:ascii="Palatino Linotype" w:hAnsi="Palatino Linotype"/>
          <w:b/>
          <w:sz w:val="24"/>
          <w:szCs w:val="24"/>
        </w:rPr>
      </w:pPr>
      <w:r w:rsidRPr="0052570E">
        <w:rPr>
          <w:rFonts w:ascii="Palatino Linotype" w:hAnsi="Palatino Linotype"/>
          <w:b/>
          <w:sz w:val="24"/>
          <w:szCs w:val="24"/>
        </w:rPr>
        <w:t>Comisionado</w:t>
      </w:r>
    </w:p>
    <w:p w:rsidR="00F770ED" w:rsidRPr="0052570E" w:rsidRDefault="00F770ED" w:rsidP="00F770ED">
      <w:pPr>
        <w:spacing w:after="0" w:line="240" w:lineRule="auto"/>
        <w:jc w:val="center"/>
        <w:rPr>
          <w:rFonts w:ascii="Palatino Linotype" w:hAnsi="Palatino Linotype"/>
          <w:b/>
          <w:sz w:val="24"/>
          <w:szCs w:val="24"/>
        </w:rPr>
      </w:pPr>
      <w:r w:rsidRPr="0052570E">
        <w:rPr>
          <w:rFonts w:ascii="Palatino Linotype" w:hAnsi="Palatino Linotype"/>
          <w:b/>
          <w:sz w:val="24"/>
          <w:szCs w:val="24"/>
        </w:rPr>
        <w:t>(Rúbrica)</w:t>
      </w:r>
    </w:p>
    <w:p w:rsidR="00C57AFF" w:rsidRPr="00BA497B" w:rsidRDefault="00F770ED" w:rsidP="00BA497B">
      <w:pPr>
        <w:spacing w:after="0" w:line="240" w:lineRule="auto"/>
        <w:jc w:val="center"/>
        <w:rPr>
          <w:rFonts w:ascii="Palatino Linotype" w:hAnsi="Palatino Linotype"/>
          <w:b/>
          <w:sz w:val="24"/>
          <w:szCs w:val="24"/>
        </w:rPr>
      </w:pPr>
      <w:r w:rsidRPr="0052570E">
        <w:rPr>
          <w:rFonts w:ascii="Palatino Linotype" w:hAnsi="Palatino Linotype"/>
          <w:b/>
          <w:sz w:val="24"/>
          <w:szCs w:val="24"/>
        </w:rPr>
        <w:t xml:space="preserve">                                                                                                                                                                                                                                                                                                                                                                                                                                                                                                                                                                                                                                                                                                                                                                                                                                                                                                                                                                                                                                                                                                                                                                                                                                                                                                                                                                                                                                                                                                                                                                                                                                                                                                                                                                                                                                                                                                                                                                                                                                                                                                                                                                                                                                                                                                                                                                                                                                                                                                                                                                                                                                                                                                                                                                                                                                                                                                                                                                                                                                              </w:t>
      </w:r>
      <w:r w:rsidR="00BA497B">
        <w:rPr>
          <w:rFonts w:ascii="Palatino Linotype" w:hAnsi="Palatino Linotype"/>
          <w:b/>
          <w:sz w:val="24"/>
          <w:szCs w:val="24"/>
        </w:rPr>
        <w:t xml:space="preserve">                            </w:t>
      </w:r>
    </w:p>
    <w:sectPr w:rsidR="00C57AFF" w:rsidRPr="00BA497B" w:rsidSect="007F0307">
      <w:headerReference w:type="even" r:id="rId12"/>
      <w:headerReference w:type="default" r:id="rId13"/>
      <w:footerReference w:type="default" r:id="rId14"/>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749" w:rsidRDefault="000C7749" w:rsidP="00831366">
      <w:pPr>
        <w:spacing w:after="0" w:line="240" w:lineRule="auto"/>
      </w:pPr>
      <w:r>
        <w:separator/>
      </w:r>
    </w:p>
  </w:endnote>
  <w:endnote w:type="continuationSeparator" w:id="0">
    <w:p w:rsidR="000C7749" w:rsidRDefault="000C7749" w:rsidP="00831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D64620"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92A2E">
      <w:rPr>
        <w:rFonts w:ascii="Arial" w:hAnsi="Arial" w:cs="Arial"/>
        <w:b/>
        <w:bCs/>
        <w:noProof/>
        <w:sz w:val="20"/>
        <w:szCs w:val="20"/>
      </w:rPr>
      <w:t>14</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92A2E">
      <w:rPr>
        <w:rFonts w:ascii="Arial" w:hAnsi="Arial" w:cs="Arial"/>
        <w:b/>
        <w:bCs/>
        <w:noProof/>
        <w:sz w:val="20"/>
        <w:szCs w:val="20"/>
      </w:rPr>
      <w:t>15</w:t>
    </w:r>
    <w:r w:rsidRPr="00986599">
      <w:rPr>
        <w:rFonts w:ascii="Arial" w:hAnsi="Arial" w:cs="Arial"/>
        <w:b/>
        <w:bCs/>
        <w:sz w:val="20"/>
        <w:szCs w:val="20"/>
      </w:rPr>
      <w:fldChar w:fldCharType="end"/>
    </w:r>
  </w:p>
  <w:p w:rsidR="007F0307" w:rsidRDefault="000C7749" w:rsidP="007F0307">
    <w:pPr>
      <w:pStyle w:val="Piedepgina"/>
      <w:jc w:val="right"/>
    </w:pPr>
  </w:p>
  <w:p w:rsidR="003A7B43" w:rsidRDefault="000C7749"/>
  <w:p w:rsidR="003A7B43" w:rsidRDefault="000C77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749" w:rsidRDefault="000C7749" w:rsidP="00831366">
      <w:pPr>
        <w:spacing w:after="0" w:line="240" w:lineRule="auto"/>
      </w:pPr>
      <w:r>
        <w:separator/>
      </w:r>
    </w:p>
  </w:footnote>
  <w:footnote w:type="continuationSeparator" w:id="0">
    <w:p w:rsidR="000C7749" w:rsidRDefault="000C7749" w:rsidP="008313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64620">
    <w:pPr>
      <w:pStyle w:val="Encabezado"/>
    </w:pPr>
    <w:r>
      <w:rPr>
        <w:noProof/>
        <w:lang w:val="es-MX" w:eastAsia="es-MX"/>
      </w:rPr>
      <mc:AlternateContent>
        <mc:Choice Requires="wps">
          <w:drawing>
            <wp:anchor distT="0" distB="0" distL="114300" distR="114300" simplePos="0" relativeHeight="251656704" behindDoc="1" locked="0" layoutInCell="0" allowOverlap="1" wp14:anchorId="66C6D961" wp14:editId="758E4BDB">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D64620"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C6D96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D64620"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0C7749"/>
  <w:p w:rsidR="003A7B43" w:rsidRDefault="000C774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D64620" w:rsidP="007F0307">
    <w:pPr>
      <w:pStyle w:val="Encabezado"/>
      <w:jc w:val="right"/>
      <w:rPr>
        <w:rFonts w:ascii="Arial" w:hAnsi="Arial" w:cs="Arial"/>
        <w:sz w:val="20"/>
        <w:szCs w:val="20"/>
      </w:rPr>
    </w:pPr>
    <w:r>
      <w:rPr>
        <w:noProof/>
        <w:lang w:val="es-MX" w:eastAsia="es-MX"/>
      </w:rPr>
      <w:drawing>
        <wp:anchor distT="0" distB="0" distL="114300" distR="114300" simplePos="0" relativeHeight="251657728" behindDoc="1" locked="0" layoutInCell="1" allowOverlap="1" wp14:anchorId="6F0106CB" wp14:editId="156E8BDD">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986986339"/>
        <w:docPartObj>
          <w:docPartGallery w:val="Watermarks"/>
          <w:docPartUnique/>
        </w:docPartObj>
      </w:sdtPr>
      <w:sdtEndPr/>
      <w:sdtContent>
        <w:r w:rsidR="000C7749">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5944220" o:spid="_x0000_s2049" type="#_x0000_t136" style="position:absolute;left:0;text-align:left;margin-left:0;margin-top:0;width:553.7pt;height:75.5pt;rotation:315;z-index:-251657728;mso-position-horizontal:center;mso-position-horizontal-relative:margin;mso-position-vertical:center;mso-position-vertical-relative:margin" o:allowincell="f" fillcolor="#d8d8d8" stroked="f">
              <v:fill opacity=".5"/>
              <v:textpath style="font-family:&quot;Palatino Linotype&quot;;font-size:1pt" string="VOTO   PARTICULAR"/>
              <w10:wrap anchorx="margin" anchory="margin"/>
            </v:shape>
          </w:pict>
        </w:r>
      </w:sdtContent>
    </w:sdt>
  </w:p>
  <w:p w:rsidR="007F0307" w:rsidRDefault="000C7749" w:rsidP="007F0307">
    <w:pPr>
      <w:pStyle w:val="Encabezado"/>
      <w:jc w:val="right"/>
      <w:rPr>
        <w:rFonts w:ascii="Arial" w:hAnsi="Arial" w:cs="Arial"/>
        <w:sz w:val="20"/>
        <w:szCs w:val="20"/>
      </w:rPr>
    </w:pPr>
  </w:p>
  <w:p w:rsidR="007F0307" w:rsidRDefault="000C7749" w:rsidP="007F0307">
    <w:pPr>
      <w:pStyle w:val="Encabezado"/>
      <w:jc w:val="right"/>
      <w:rPr>
        <w:rFonts w:ascii="Arial" w:hAnsi="Arial" w:cs="Arial"/>
        <w:sz w:val="20"/>
        <w:szCs w:val="20"/>
      </w:rPr>
    </w:pPr>
  </w:p>
  <w:p w:rsidR="007F0307" w:rsidRPr="00563D0F" w:rsidRDefault="00D64620"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D64620"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sidR="00E52FA3">
      <w:rPr>
        <w:rFonts w:ascii="Palatino Linotype" w:hAnsi="Palatino Linotype"/>
        <w:b/>
        <w:sz w:val="22"/>
        <w:szCs w:val="22"/>
        <w:lang w:val="es-ES_tradnl"/>
      </w:rPr>
      <w:t>0</w:t>
    </w:r>
    <w:r w:rsidR="00831366">
      <w:rPr>
        <w:rFonts w:ascii="Palatino Linotype" w:hAnsi="Palatino Linotype"/>
        <w:b/>
        <w:sz w:val="22"/>
        <w:szCs w:val="22"/>
        <w:lang w:val="es-ES_tradnl"/>
      </w:rPr>
      <w:t>4025</w:t>
    </w:r>
    <w:r>
      <w:rPr>
        <w:rFonts w:ascii="Palatino Linotype" w:hAnsi="Palatino Linotype"/>
        <w:b/>
        <w:sz w:val="22"/>
        <w:szCs w:val="22"/>
        <w:lang w:val="es-ES_tradnl"/>
      </w:rPr>
      <w:t>/INFOEM/IP/RR/2018.</w:t>
    </w:r>
  </w:p>
  <w:p w:rsidR="007F0307" w:rsidRDefault="000C7749" w:rsidP="007F0307">
    <w:pPr>
      <w:pStyle w:val="Encabezado"/>
      <w:jc w:val="right"/>
      <w:rPr>
        <w:rFonts w:ascii="Palatino Linotype" w:hAnsi="Palatino Linotype" w:cs="Arial"/>
        <w:sz w:val="20"/>
        <w:szCs w:val="20"/>
      </w:rPr>
    </w:pPr>
  </w:p>
  <w:p w:rsidR="00D40FD0" w:rsidRDefault="000C7749"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C7372"/>
    <w:multiLevelType w:val="hybridMultilevel"/>
    <w:tmpl w:val="3C18DB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720C1D"/>
    <w:multiLevelType w:val="hybridMultilevel"/>
    <w:tmpl w:val="A7A4DBC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BD1DC0"/>
    <w:multiLevelType w:val="hybridMultilevel"/>
    <w:tmpl w:val="F9142338"/>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 w15:restartNumberingAfterBreak="0">
    <w:nsid w:val="3A342F08"/>
    <w:multiLevelType w:val="hybridMultilevel"/>
    <w:tmpl w:val="288A7E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ACB09E6"/>
    <w:multiLevelType w:val="hybridMultilevel"/>
    <w:tmpl w:val="6C3E1F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865A51"/>
    <w:multiLevelType w:val="hybridMultilevel"/>
    <w:tmpl w:val="F21CB1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E4E4473"/>
    <w:multiLevelType w:val="hybridMultilevel"/>
    <w:tmpl w:val="7D5A7A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0ED"/>
    <w:rsid w:val="000A0647"/>
    <w:rsid w:val="000C7749"/>
    <w:rsid w:val="000F553C"/>
    <w:rsid w:val="001764D4"/>
    <w:rsid w:val="001B5080"/>
    <w:rsid w:val="001E372A"/>
    <w:rsid w:val="003D7E84"/>
    <w:rsid w:val="0051147C"/>
    <w:rsid w:val="0052570E"/>
    <w:rsid w:val="00534FE0"/>
    <w:rsid w:val="005E2E69"/>
    <w:rsid w:val="00662CCB"/>
    <w:rsid w:val="00792A2E"/>
    <w:rsid w:val="007D7F92"/>
    <w:rsid w:val="00831366"/>
    <w:rsid w:val="008E267F"/>
    <w:rsid w:val="00B12740"/>
    <w:rsid w:val="00BA497B"/>
    <w:rsid w:val="00C51D1A"/>
    <w:rsid w:val="00C57AFF"/>
    <w:rsid w:val="00CF687A"/>
    <w:rsid w:val="00D56767"/>
    <w:rsid w:val="00D64620"/>
    <w:rsid w:val="00E52FA3"/>
    <w:rsid w:val="00F770ED"/>
    <w:rsid w:val="00FE62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959641A-5092-4E95-BA81-F4C7C5B03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70ED"/>
    <w:pPr>
      <w:spacing w:line="256" w:lineRule="auto"/>
    </w:pPr>
  </w:style>
  <w:style w:type="paragraph" w:styleId="Ttulo3">
    <w:name w:val="heading 3"/>
    <w:basedOn w:val="Normal"/>
    <w:link w:val="Ttulo3Car"/>
    <w:uiPriority w:val="9"/>
    <w:qFormat/>
    <w:rsid w:val="00BA497B"/>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70E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770ED"/>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F770ED"/>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770ED"/>
    <w:rPr>
      <w:rFonts w:ascii="Times New Roman" w:eastAsia="Times New Roman" w:hAnsi="Times New Roman" w:cs="Times New Roman"/>
      <w:sz w:val="24"/>
      <w:szCs w:val="24"/>
      <w:lang w:val="es-ES" w:eastAsia="es-ES"/>
    </w:rPr>
  </w:style>
  <w:style w:type="paragraph" w:styleId="NormalWeb">
    <w:name w:val="Normal (Web)"/>
    <w:basedOn w:val="Normal"/>
    <w:uiPriority w:val="99"/>
    <w:rsid w:val="00F770E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770ED"/>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770ED"/>
    <w:rPr>
      <w:rFonts w:ascii="Times New Roman" w:eastAsia="Calibri" w:hAnsi="Times New Roman" w:cs="Times New Roman"/>
      <w:sz w:val="24"/>
      <w:szCs w:val="24"/>
      <w:lang w:val="es-ES" w:eastAsia="es-ES"/>
    </w:rPr>
  </w:style>
  <w:style w:type="character" w:styleId="Hipervnculo">
    <w:name w:val="Hyperlink"/>
    <w:basedOn w:val="Fuentedeprrafopredeter"/>
    <w:uiPriority w:val="99"/>
    <w:semiHidden/>
    <w:unhideWhenUsed/>
    <w:rsid w:val="00F770ED"/>
    <w:rPr>
      <w:color w:val="0000FF"/>
      <w:u w:val="single"/>
    </w:rPr>
  </w:style>
  <w:style w:type="paragraph" w:styleId="Sinespaciado">
    <w:name w:val="No Spacing"/>
    <w:aliases w:val="Francesa"/>
    <w:link w:val="SinespaciadoCar"/>
    <w:uiPriority w:val="1"/>
    <w:qFormat/>
    <w:rsid w:val="00F770E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770ED"/>
    <w:rPr>
      <w:rFonts w:ascii="Times New Roman" w:eastAsia="Times New Roman" w:hAnsi="Times New Roman" w:cs="Times New Roman"/>
      <w:sz w:val="24"/>
      <w:szCs w:val="24"/>
      <w:lang w:eastAsia="es-ES"/>
    </w:rPr>
  </w:style>
  <w:style w:type="paragraph" w:customStyle="1" w:styleId="m6880335137816069271gmail-msolistparagraph">
    <w:name w:val="m_6880335137816069271gmail-msolistparagraph"/>
    <w:basedOn w:val="Normal"/>
    <w:rsid w:val="00E52FA3"/>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3Car">
    <w:name w:val="Título 3 Car"/>
    <w:basedOn w:val="Fuentedeprrafopredeter"/>
    <w:link w:val="Ttulo3"/>
    <w:uiPriority w:val="9"/>
    <w:rsid w:val="00BA497B"/>
    <w:rPr>
      <w:rFonts w:ascii="Times New Roman" w:eastAsia="Times New Roman" w:hAnsi="Times New Roman" w:cs="Times New Roman"/>
      <w:b/>
      <w:bCs/>
      <w:sz w:val="27"/>
      <w:szCs w:val="27"/>
      <w:lang w:eastAsia="es-MX"/>
    </w:rPr>
  </w:style>
  <w:style w:type="character" w:styleId="nfasis">
    <w:name w:val="Emphasis"/>
    <w:basedOn w:val="Fuentedeprrafopredeter"/>
    <w:uiPriority w:val="20"/>
    <w:qFormat/>
    <w:rsid w:val="00BA497B"/>
    <w:rPr>
      <w:i/>
      <w:iCs/>
    </w:rPr>
  </w:style>
  <w:style w:type="paragraph" w:styleId="Textodeglobo">
    <w:name w:val="Balloon Text"/>
    <w:basedOn w:val="Normal"/>
    <w:link w:val="TextodegloboCar"/>
    <w:uiPriority w:val="99"/>
    <w:semiHidden/>
    <w:unhideWhenUsed/>
    <w:rsid w:val="008E26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E26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186715">
      <w:bodyDiv w:val="1"/>
      <w:marLeft w:val="0"/>
      <w:marRight w:val="0"/>
      <w:marTop w:val="0"/>
      <w:marBottom w:val="0"/>
      <w:divBdr>
        <w:top w:val="none" w:sz="0" w:space="0" w:color="auto"/>
        <w:left w:val="none" w:sz="0" w:space="0" w:color="auto"/>
        <w:bottom w:val="none" w:sz="0" w:space="0" w:color="auto"/>
        <w:right w:val="none" w:sz="0" w:space="0" w:color="auto"/>
      </w:divBdr>
    </w:div>
    <w:div w:id="213779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of.gob.mx/nota_detalle.php?codigo=5272787&amp;fecha=15/10/2012"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15</Pages>
  <Words>3099</Words>
  <Characters>17048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2019-01-15T00:56:00Z</cp:lastPrinted>
  <dcterms:created xsi:type="dcterms:W3CDTF">2019-01-14T17:21:00Z</dcterms:created>
  <dcterms:modified xsi:type="dcterms:W3CDTF">2019-03-12T19:03:00Z</dcterms:modified>
</cp:coreProperties>
</file>